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2A0142BC" w14:textId="77777777" w:rsidR="00ED6F5D" w:rsidRPr="000E4FE8" w:rsidRDefault="00ED6F5D" w:rsidP="00ED6F5D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3D04EE7E" w14:textId="51C676C2" w:rsidR="00BE7344" w:rsidRDefault="00E36938" w:rsidP="00BE7344">
      <w:pPr>
        <w:spacing w:line="228" w:lineRule="auto"/>
        <w:ind w:firstLine="708"/>
        <w:jc w:val="both"/>
        <w:rPr>
          <w:sz w:val="22"/>
          <w:szCs w:val="22"/>
        </w:rPr>
      </w:pPr>
      <w:r w:rsidRPr="00E36938">
        <w:rPr>
          <w:b/>
          <w:bCs/>
          <w:sz w:val="22"/>
          <w:szCs w:val="22"/>
        </w:rPr>
        <w:t>Общество с ограниченной ответственностью «Системы накопления энергии</w:t>
      </w:r>
      <w:r>
        <w:rPr>
          <w:b/>
          <w:bCs/>
          <w:sz w:val="22"/>
          <w:szCs w:val="22"/>
        </w:rPr>
        <w:t>»</w:t>
      </w:r>
      <w:r w:rsidR="00535B36">
        <w:rPr>
          <w:sz w:val="22"/>
          <w:szCs w:val="22"/>
        </w:rPr>
        <w:t xml:space="preserve"> (ИНН </w:t>
      </w:r>
      <w:r w:rsidRPr="00E36938">
        <w:rPr>
          <w:sz w:val="22"/>
          <w:szCs w:val="22"/>
        </w:rPr>
        <w:t>5405992553</w:t>
      </w:r>
      <w:r w:rsidR="00535B36">
        <w:rPr>
          <w:sz w:val="22"/>
          <w:szCs w:val="22"/>
        </w:rPr>
        <w:t xml:space="preserve">, ОГРН </w:t>
      </w:r>
      <w:r w:rsidRPr="00E36938">
        <w:rPr>
          <w:sz w:val="22"/>
          <w:szCs w:val="22"/>
        </w:rPr>
        <w:t>1165476217114</w:t>
      </w:r>
      <w:r w:rsidR="00535B36">
        <w:rPr>
          <w:sz w:val="22"/>
          <w:szCs w:val="22"/>
        </w:rPr>
        <w:t xml:space="preserve">, юр. адрес: </w:t>
      </w:r>
      <w:r w:rsidRPr="00E36938">
        <w:rPr>
          <w:sz w:val="22"/>
          <w:szCs w:val="22"/>
        </w:rPr>
        <w:t xml:space="preserve">630007, Новосибирская область, город Новосибирск, </w:t>
      </w:r>
      <w:proofErr w:type="spellStart"/>
      <w:r w:rsidRPr="00E36938">
        <w:rPr>
          <w:sz w:val="22"/>
          <w:szCs w:val="22"/>
        </w:rPr>
        <w:t>Серебренниковская</w:t>
      </w:r>
      <w:proofErr w:type="spellEnd"/>
      <w:r w:rsidRPr="00E36938">
        <w:rPr>
          <w:sz w:val="22"/>
          <w:szCs w:val="22"/>
        </w:rPr>
        <w:t xml:space="preserve"> ул., д. 14/1, офис 12</w:t>
      </w:r>
      <w:r w:rsidR="00CE1C60">
        <w:rPr>
          <w:sz w:val="22"/>
          <w:szCs w:val="22"/>
        </w:rPr>
        <w:t>, ООО «СНЭ»</w:t>
      </w:r>
      <w:r w:rsidR="00535B36">
        <w:rPr>
          <w:sz w:val="22"/>
          <w:szCs w:val="22"/>
        </w:rPr>
        <w:t>),</w:t>
      </w:r>
      <w:r w:rsidR="00535B36">
        <w:rPr>
          <w:bCs/>
          <w:sz w:val="22"/>
          <w:szCs w:val="22"/>
        </w:rPr>
        <w:t xml:space="preserve"> в лице конкурсного управляющего </w:t>
      </w:r>
      <w:r w:rsidRPr="00E36938">
        <w:rPr>
          <w:sz w:val="22"/>
          <w:szCs w:val="22"/>
        </w:rPr>
        <w:t xml:space="preserve">Сильченко Евгения Анатольевича, действующего на основании </w:t>
      </w:r>
      <w:r>
        <w:rPr>
          <w:sz w:val="22"/>
          <w:szCs w:val="22"/>
        </w:rPr>
        <w:t xml:space="preserve">решения </w:t>
      </w:r>
      <w:r w:rsidRPr="00E36938">
        <w:rPr>
          <w:sz w:val="22"/>
          <w:szCs w:val="22"/>
        </w:rPr>
        <w:t>Арбитражн</w:t>
      </w:r>
      <w:r>
        <w:rPr>
          <w:sz w:val="22"/>
          <w:szCs w:val="22"/>
        </w:rPr>
        <w:t>ого</w:t>
      </w:r>
      <w:r w:rsidRPr="00E36938">
        <w:rPr>
          <w:sz w:val="22"/>
          <w:szCs w:val="22"/>
        </w:rPr>
        <w:t xml:space="preserve"> суд</w:t>
      </w:r>
      <w:r>
        <w:rPr>
          <w:sz w:val="22"/>
          <w:szCs w:val="22"/>
        </w:rPr>
        <w:t>а</w:t>
      </w:r>
      <w:r w:rsidRPr="00E36938">
        <w:rPr>
          <w:sz w:val="22"/>
          <w:szCs w:val="22"/>
        </w:rPr>
        <w:t xml:space="preserve"> Новосибирской области по делу № А45-14819/2021 от </w:t>
      </w:r>
      <w:r w:rsidR="00CE1C60">
        <w:rPr>
          <w:sz w:val="22"/>
          <w:szCs w:val="22"/>
        </w:rPr>
        <w:t>07</w:t>
      </w:r>
      <w:r w:rsidRPr="00E36938">
        <w:rPr>
          <w:sz w:val="22"/>
          <w:szCs w:val="22"/>
        </w:rPr>
        <w:t>.0</w:t>
      </w:r>
      <w:r w:rsidR="00CE1C60">
        <w:rPr>
          <w:sz w:val="22"/>
          <w:szCs w:val="22"/>
        </w:rPr>
        <w:t>9</w:t>
      </w:r>
      <w:r w:rsidRPr="00E36938">
        <w:rPr>
          <w:sz w:val="22"/>
          <w:szCs w:val="22"/>
        </w:rPr>
        <w:t>.2022 г. (резолютивная часть объявлена 31.08.2022 г.)</w:t>
      </w:r>
      <w:r w:rsidR="00535B36">
        <w:rPr>
          <w:sz w:val="22"/>
          <w:szCs w:val="22"/>
        </w:rPr>
        <w:t>,</w:t>
      </w:r>
      <w:r w:rsidR="00BE7344">
        <w:rPr>
          <w:sz w:val="22"/>
          <w:szCs w:val="22"/>
        </w:rPr>
        <w:t xml:space="preserve"> именуемое в дальнейшем «Продавец» с одной стороны, и </w:t>
      </w:r>
      <w:r w:rsidR="00BE7344">
        <w:rPr>
          <w:bCs/>
          <w:sz w:val="24"/>
          <w:szCs w:val="24"/>
        </w:rPr>
        <w:t xml:space="preserve"> </w:t>
      </w:r>
      <w:r w:rsidR="00BE7344">
        <w:rPr>
          <w:sz w:val="22"/>
          <w:szCs w:val="22"/>
        </w:rPr>
        <w:t xml:space="preserve"> </w:t>
      </w:r>
    </w:p>
    <w:p w14:paraId="34E7C3A8" w14:textId="288A3E29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заключили настоящий Договор (Далее - Договор) о нижеследующем.  </w:t>
      </w:r>
    </w:p>
    <w:p w14:paraId="3A49DDA5" w14:textId="3961C1CD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- </w:t>
      </w:r>
      <w:r w:rsidRPr="009A1E6C">
        <w:rPr>
          <w:sz w:val="22"/>
          <w:szCs w:val="22"/>
        </w:rPr>
        <w:t xml:space="preserve">конкурсным управляющим </w:t>
      </w:r>
      <w:r w:rsidR="00CE1C60">
        <w:rPr>
          <w:sz w:val="22"/>
          <w:szCs w:val="22"/>
        </w:rPr>
        <w:t>ООО «СНЭ»</w:t>
      </w:r>
      <w:r w:rsidRPr="009A1E6C">
        <w:rPr>
          <w:sz w:val="22"/>
          <w:szCs w:val="22"/>
        </w:rPr>
        <w:t xml:space="preserve"> </w:t>
      </w:r>
      <w:r w:rsidR="00CE1C60" w:rsidRPr="00E36938">
        <w:rPr>
          <w:sz w:val="22"/>
          <w:szCs w:val="22"/>
        </w:rPr>
        <w:t>Сильченко Евгени</w:t>
      </w:r>
      <w:r w:rsidR="00CE1C60">
        <w:rPr>
          <w:sz w:val="22"/>
          <w:szCs w:val="22"/>
        </w:rPr>
        <w:t>ем</w:t>
      </w:r>
      <w:r w:rsidR="00CE1C60" w:rsidRPr="00E36938">
        <w:rPr>
          <w:sz w:val="22"/>
          <w:szCs w:val="22"/>
        </w:rPr>
        <w:t xml:space="preserve"> Анатольевич</w:t>
      </w:r>
      <w:r w:rsidR="00CE1C60">
        <w:rPr>
          <w:sz w:val="22"/>
          <w:szCs w:val="22"/>
        </w:rPr>
        <w:t>ем</w:t>
      </w:r>
      <w:r w:rsidRPr="009A1E6C">
        <w:rPr>
          <w:sz w:val="22"/>
          <w:szCs w:val="22"/>
        </w:rPr>
        <w:t xml:space="preserve">. </w:t>
      </w:r>
    </w:p>
    <w:p w14:paraId="3EC8E612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«____» _______20</w:t>
      </w:r>
      <w:r w:rsidRPr="00E0491D">
        <w:rPr>
          <w:sz w:val="22"/>
          <w:szCs w:val="22"/>
        </w:rPr>
        <w:t>___</w:t>
      </w:r>
      <w:r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C2F264B" w14:textId="2A12BF05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CE1C60">
        <w:rPr>
          <w:sz w:val="22"/>
          <w:szCs w:val="22"/>
        </w:rPr>
        <w:t>ООО «СНЭ»</w:t>
      </w:r>
      <w:r>
        <w:rPr>
          <w:bCs/>
          <w:sz w:val="24"/>
          <w:szCs w:val="24"/>
        </w:rPr>
        <w:t>,</w:t>
      </w:r>
      <w:r w:rsidRPr="00527F4B">
        <w:rPr>
          <w:bCs/>
          <w:sz w:val="24"/>
          <w:szCs w:val="24"/>
        </w:rPr>
        <w:t xml:space="preserve"> </w:t>
      </w:r>
      <w:r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7DCD858" w14:textId="77777777" w:rsidR="00ED6F5D" w:rsidRPr="005E1B6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площадки,:</w:t>
      </w:r>
    </w:p>
    <w:p w14:paraId="6E64A4A6" w14:textId="6E6DB681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BE7344" w:rsidRPr="00BE7344">
        <w:rPr>
          <w:sz w:val="22"/>
          <w:szCs w:val="22"/>
        </w:rPr>
        <w:t xml:space="preserve">390006, Рязанская область, </w:t>
      </w:r>
      <w:proofErr w:type="spellStart"/>
      <w:r w:rsidR="00BE7344" w:rsidRPr="00BE7344">
        <w:rPr>
          <w:sz w:val="22"/>
          <w:szCs w:val="22"/>
        </w:rPr>
        <w:t>г.Рязань</w:t>
      </w:r>
      <w:proofErr w:type="spellEnd"/>
      <w:r w:rsidR="00BE7344" w:rsidRPr="00BE7344">
        <w:rPr>
          <w:sz w:val="22"/>
          <w:szCs w:val="22"/>
        </w:rPr>
        <w:t>, ул.</w:t>
      </w:r>
      <w:r w:rsidR="00FF4708">
        <w:rPr>
          <w:sz w:val="22"/>
          <w:szCs w:val="22"/>
        </w:rPr>
        <w:t xml:space="preserve"> </w:t>
      </w:r>
      <w:r w:rsidR="00BE7344" w:rsidRPr="00BE7344">
        <w:rPr>
          <w:sz w:val="22"/>
          <w:szCs w:val="22"/>
        </w:rPr>
        <w:t xml:space="preserve">Есенина, д.2А. </w:t>
      </w:r>
      <w:proofErr w:type="spellStart"/>
      <w:r w:rsidR="00BE7344" w:rsidRPr="00BE7344">
        <w:rPr>
          <w:sz w:val="22"/>
          <w:szCs w:val="22"/>
        </w:rPr>
        <w:t>помещ</w:t>
      </w:r>
      <w:proofErr w:type="spellEnd"/>
      <w:r w:rsidR="00BE7344" w:rsidRPr="00BE7344">
        <w:rPr>
          <w:sz w:val="22"/>
          <w:szCs w:val="22"/>
        </w:rPr>
        <w:t>. Н4</w:t>
      </w:r>
      <w:r w:rsidRPr="006B0A84">
        <w:rPr>
          <w:sz w:val="22"/>
          <w:szCs w:val="22"/>
        </w:rPr>
        <w:t>, сайт в сети Интернет www.</w:t>
      </w:r>
      <w:r w:rsidRPr="00A40EEB">
        <w:rPr>
          <w:sz w:val="22"/>
          <w:szCs w:val="22"/>
        </w:rPr>
        <w:t>банкрот.вэтп.рф</w:t>
      </w:r>
      <w:r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326A2E2B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CE5768A" w14:textId="77777777" w:rsidR="00ED6F5D" w:rsidRPr="00ED6F5D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1DBC8371" w14:textId="0690CF4F" w:rsidR="00EB1A75" w:rsidRDefault="00CE1C60" w:rsidP="00ED6F5D">
      <w:pPr>
        <w:jc w:val="both"/>
        <w:rPr>
          <w:sz w:val="22"/>
          <w:szCs w:val="22"/>
        </w:rPr>
      </w:pPr>
      <w:r>
        <w:rPr>
          <w:sz w:val="22"/>
          <w:szCs w:val="22"/>
        </w:rPr>
        <w:t>ООО «СНЭ»</w:t>
      </w:r>
      <w:r w:rsidR="00ED6F5D" w:rsidRPr="00ED6F5D">
        <w:rPr>
          <w:sz w:val="22"/>
          <w:szCs w:val="22"/>
        </w:rPr>
        <w:t xml:space="preserve">, проводившихся в форме </w:t>
      </w:r>
      <w:r w:rsidR="000106A3">
        <w:rPr>
          <w:sz w:val="22"/>
          <w:szCs w:val="22"/>
        </w:rPr>
        <w:t>публичных торгов</w:t>
      </w:r>
      <w:r w:rsidR="00ED6F5D" w:rsidRPr="00ED6F5D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сроках, условиях и начальной цене продажи </w:t>
      </w:r>
      <w:r>
        <w:rPr>
          <w:sz w:val="22"/>
          <w:szCs w:val="22"/>
        </w:rPr>
        <w:t>ООО «СНЭ»</w:t>
      </w:r>
      <w:r w:rsidR="00ED6F5D" w:rsidRPr="00ED6F5D">
        <w:rPr>
          <w:sz w:val="22"/>
          <w:szCs w:val="22"/>
        </w:rPr>
        <w:t xml:space="preserve"> </w:t>
      </w:r>
      <w:r w:rsidR="00D51125" w:rsidRPr="00D51125">
        <w:rPr>
          <w:sz w:val="22"/>
          <w:szCs w:val="22"/>
        </w:rPr>
        <w:t>(далее по тексту «Положение»),</w:t>
      </w:r>
      <w:r w:rsidR="00D51125">
        <w:rPr>
          <w:sz w:val="22"/>
          <w:szCs w:val="22"/>
        </w:rPr>
        <w:t xml:space="preserve"> </w:t>
      </w:r>
      <w:r w:rsidR="00ED6F5D" w:rsidRPr="00ED6F5D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4BF39FD2" w14:textId="77777777" w:rsidR="00ED6F5D" w:rsidRPr="000E4FE8" w:rsidRDefault="00ED6F5D" w:rsidP="00ED6F5D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04F65232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r w:rsidR="00FF4708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9ABB143" w14:textId="1C8B9372" w:rsidR="00CE1C60" w:rsidRDefault="00CE1C6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C60">
        <w:rPr>
          <w:sz w:val="22"/>
          <w:szCs w:val="22"/>
        </w:rPr>
        <w:t>Товар передается с склада ООО «Системы Постоянного Тока»</w:t>
      </w:r>
      <w:r>
        <w:rPr>
          <w:sz w:val="22"/>
          <w:szCs w:val="22"/>
        </w:rPr>
        <w:t xml:space="preserve"> (</w:t>
      </w:r>
      <w:r w:rsidRPr="00CE1C60">
        <w:rPr>
          <w:sz w:val="22"/>
          <w:szCs w:val="22"/>
        </w:rPr>
        <w:t>ИНН 5402461949</w:t>
      </w:r>
      <w:r>
        <w:rPr>
          <w:sz w:val="22"/>
          <w:szCs w:val="22"/>
        </w:rPr>
        <w:t xml:space="preserve">, ОГРН </w:t>
      </w:r>
      <w:r w:rsidRPr="00CE1C60">
        <w:rPr>
          <w:sz w:val="22"/>
          <w:szCs w:val="22"/>
        </w:rPr>
        <w:t>1065402005063</w:t>
      </w:r>
      <w:r>
        <w:rPr>
          <w:sz w:val="22"/>
          <w:szCs w:val="22"/>
        </w:rPr>
        <w:t xml:space="preserve">, юр. адрес: </w:t>
      </w:r>
      <w:r w:rsidRPr="00CE1C60">
        <w:rPr>
          <w:sz w:val="22"/>
          <w:szCs w:val="22"/>
        </w:rPr>
        <w:t>630083, Новосибирская область, город Новосибирск, Большевистская ул., д. 177, цех 7</w:t>
      </w:r>
      <w:r>
        <w:rPr>
          <w:sz w:val="22"/>
          <w:szCs w:val="22"/>
        </w:rPr>
        <w:t>, ООО «СПТ»)</w:t>
      </w:r>
      <w:r w:rsidRPr="00CE1C60">
        <w:rPr>
          <w:sz w:val="22"/>
          <w:szCs w:val="22"/>
        </w:rPr>
        <w:t xml:space="preserve"> из числа вещей, переданных на хранение от Продавца</w:t>
      </w:r>
      <w:r>
        <w:rPr>
          <w:sz w:val="22"/>
          <w:szCs w:val="22"/>
        </w:rPr>
        <w:t xml:space="preserve"> ООО «СНЭ»</w:t>
      </w:r>
      <w:r w:rsidRPr="00CE1C60">
        <w:rPr>
          <w:sz w:val="22"/>
          <w:szCs w:val="22"/>
        </w:rPr>
        <w:t xml:space="preserve"> как Поклажедателя </w:t>
      </w:r>
      <w:r>
        <w:rPr>
          <w:sz w:val="22"/>
          <w:szCs w:val="22"/>
        </w:rPr>
        <w:t>ООО «СПТ»</w:t>
      </w:r>
      <w:r w:rsidRPr="00CE1C60">
        <w:rPr>
          <w:sz w:val="22"/>
          <w:szCs w:val="22"/>
        </w:rPr>
        <w:t xml:space="preserve"> как Хранителю на основании Договора №099-А/22 от 18.11.2022.</w:t>
      </w:r>
    </w:p>
    <w:p w14:paraId="6223A8B4" w14:textId="104A7007" w:rsidR="003400E6" w:rsidRDefault="00902086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02086">
        <w:rPr>
          <w:sz w:val="22"/>
          <w:szCs w:val="22"/>
        </w:rPr>
        <w:t xml:space="preserve">Покупатель обязан принять Товар, поставленный по настоящему Договору </w:t>
      </w:r>
      <w:r w:rsidR="003400E6">
        <w:rPr>
          <w:sz w:val="22"/>
          <w:szCs w:val="22"/>
        </w:rPr>
        <w:t>в момент получения.</w:t>
      </w:r>
      <w:r>
        <w:rPr>
          <w:sz w:val="22"/>
          <w:szCs w:val="22"/>
        </w:rPr>
        <w:t xml:space="preserve"> </w:t>
      </w:r>
      <w:r w:rsidRPr="00902086">
        <w:rPr>
          <w:sz w:val="22"/>
          <w:szCs w:val="22"/>
        </w:rPr>
        <w:t xml:space="preserve">Товар поставляется как в стандартной заводской упаковке, так и без нее – в соответствии с тем, как он хранился у </w:t>
      </w:r>
      <w:r w:rsidRPr="00CE1C60">
        <w:rPr>
          <w:sz w:val="22"/>
          <w:szCs w:val="22"/>
        </w:rPr>
        <w:t>Поклажедателя</w:t>
      </w:r>
      <w:r w:rsidRPr="00902086">
        <w:rPr>
          <w:sz w:val="22"/>
          <w:szCs w:val="22"/>
        </w:rPr>
        <w:t>.</w:t>
      </w:r>
    </w:p>
    <w:p w14:paraId="0332AAFA" w14:textId="5CF4E127" w:rsidR="00CE1C60" w:rsidRPr="006D6653" w:rsidRDefault="00902086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02086">
        <w:rPr>
          <w:sz w:val="22"/>
          <w:szCs w:val="22"/>
        </w:rPr>
        <w:t>Качество поставляемого по настоящему Договору Товара проверяется Покупателем визуально – без предъявления требований по комплектности, наличию документации и т.п.</w:t>
      </w:r>
      <w:r>
        <w:rPr>
          <w:sz w:val="22"/>
          <w:szCs w:val="22"/>
        </w:rPr>
        <w:t xml:space="preserve"> Отдельные наименования Товара могут располагаться вне склада </w:t>
      </w:r>
      <w:r w:rsidRPr="00CE1C60">
        <w:rPr>
          <w:sz w:val="22"/>
          <w:szCs w:val="22"/>
        </w:rPr>
        <w:t>Поклажедателя</w:t>
      </w:r>
      <w:r>
        <w:rPr>
          <w:sz w:val="22"/>
          <w:szCs w:val="22"/>
        </w:rPr>
        <w:t xml:space="preserve"> ООО «СПТ</w:t>
      </w:r>
      <w:r w:rsidRPr="00902086">
        <w:rPr>
          <w:sz w:val="22"/>
          <w:szCs w:val="22"/>
        </w:rPr>
        <w:t>», о чем дополнительно указано в примечаниях в перечне - Приложении № __</w:t>
      </w:r>
      <w:r w:rsidRPr="00902086">
        <w:t>_</w:t>
      </w:r>
      <w:r>
        <w:t xml:space="preserve"> </w:t>
      </w:r>
      <w:r>
        <w:rPr>
          <w:color w:val="000000"/>
          <w:sz w:val="22"/>
          <w:szCs w:val="22"/>
        </w:rPr>
        <w:t>к настоящему Договору.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59A3D6F7" w14:textId="5E86E9D4" w:rsidR="003400E6" w:rsidRDefault="003400E6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02086">
        <w:rPr>
          <w:sz w:val="22"/>
          <w:szCs w:val="22"/>
        </w:rPr>
        <w:t xml:space="preserve">Покупатель обязан </w:t>
      </w:r>
      <w:r>
        <w:rPr>
          <w:sz w:val="22"/>
          <w:szCs w:val="22"/>
        </w:rPr>
        <w:t>забрать</w:t>
      </w:r>
      <w:r w:rsidRPr="00902086">
        <w:rPr>
          <w:sz w:val="22"/>
          <w:szCs w:val="22"/>
        </w:rPr>
        <w:t xml:space="preserve"> Товар</w:t>
      </w:r>
      <w:r>
        <w:rPr>
          <w:sz w:val="22"/>
          <w:szCs w:val="22"/>
        </w:rPr>
        <w:t xml:space="preserve"> со склада Хранителя своими силами и за счет собственных средств в течение 3 дней с момента приемки товара.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CCA75BB" w14:textId="77777777" w:rsidR="00902086" w:rsidRDefault="00902086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02086">
        <w:rPr>
          <w:sz w:val="22"/>
          <w:szCs w:val="22"/>
        </w:rPr>
        <w:t>Передать Покупателю Товар в количестве и на условиях, предусмотренных разделом 3 и 4 настоящего Договора и Приложениями к нему.</w:t>
      </w:r>
    </w:p>
    <w:p w14:paraId="137BBE76" w14:textId="4C232EE2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295E1F83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</w:t>
      </w:r>
      <w:r w:rsidR="003400E6">
        <w:rPr>
          <w:sz w:val="22"/>
          <w:szCs w:val="22"/>
        </w:rPr>
        <w:t>а также</w:t>
      </w:r>
      <w:r w:rsidRPr="006D6653">
        <w:rPr>
          <w:sz w:val="22"/>
          <w:szCs w:val="22"/>
        </w:rPr>
        <w:t xml:space="preserve"> по электронной почте. Стороны несут ответственность за неполучение корреспонденции по</w:t>
      </w:r>
      <w:r w:rsidR="00DE7128"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адресу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2F7425A0" w14:textId="77777777" w:rsidR="00ED6F5D" w:rsidRDefault="00ED6F5D" w:rsidP="00ED6F5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B0A1B25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Наименование: ОБЩЕСТВО С ОГРАНИЧЕННОЙ ОТВЕТСТВЕННОСТЬЮ "СИСТЕМЫ НАКОПЛЕНИЯ ЭНЕРГИИ"</w:t>
            </w:r>
          </w:p>
          <w:p w14:paraId="1DC009A6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 xml:space="preserve">Адрес: 630007, </w:t>
            </w:r>
            <w:proofErr w:type="spellStart"/>
            <w:r w:rsidRPr="00F07F8E">
              <w:rPr>
                <w:b/>
                <w:sz w:val="22"/>
                <w:szCs w:val="22"/>
              </w:rPr>
              <w:t>обл</w:t>
            </w:r>
            <w:proofErr w:type="spellEnd"/>
            <w:r w:rsidRPr="00F07F8E">
              <w:rPr>
                <w:b/>
                <w:sz w:val="22"/>
                <w:szCs w:val="22"/>
              </w:rPr>
              <w:t xml:space="preserve"> Новосибирская, г Новосибирск, </w:t>
            </w:r>
            <w:proofErr w:type="spellStart"/>
            <w:r w:rsidRPr="00F07F8E">
              <w:rPr>
                <w:b/>
                <w:sz w:val="22"/>
                <w:szCs w:val="22"/>
              </w:rPr>
              <w:t>ул</w:t>
            </w:r>
            <w:proofErr w:type="spellEnd"/>
            <w:r w:rsidRPr="00F07F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7F8E">
              <w:rPr>
                <w:b/>
                <w:sz w:val="22"/>
                <w:szCs w:val="22"/>
              </w:rPr>
              <w:t>Серебренниковская</w:t>
            </w:r>
            <w:proofErr w:type="spellEnd"/>
            <w:r w:rsidRPr="00F07F8E">
              <w:rPr>
                <w:b/>
                <w:sz w:val="22"/>
                <w:szCs w:val="22"/>
              </w:rPr>
              <w:t>, д. 14/1, офис 12</w:t>
            </w:r>
          </w:p>
          <w:p w14:paraId="6B3EE96A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ИНН(КИО): 5405992553</w:t>
            </w:r>
          </w:p>
          <w:p w14:paraId="678D659E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КПП: 540601001</w:t>
            </w:r>
          </w:p>
          <w:p w14:paraId="36803DA2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Номер счета: 40702810600290005134</w:t>
            </w:r>
          </w:p>
          <w:p w14:paraId="70C94485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Валюта счета: Российский рубль</w:t>
            </w:r>
          </w:p>
          <w:p w14:paraId="745685E5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Банк: ПАО "БАНК УРАЛСИБ"</w:t>
            </w:r>
          </w:p>
          <w:p w14:paraId="365B8B77" w14:textId="77777777" w:rsidR="00F07F8E" w:rsidRPr="00F07F8E" w:rsidRDefault="00F07F8E" w:rsidP="00F07F8E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БИК: 044525787</w:t>
            </w:r>
          </w:p>
          <w:p w14:paraId="7229DBF1" w14:textId="71023602" w:rsidR="00ED6F5D" w:rsidRDefault="00F07F8E" w:rsidP="00F07F8E">
            <w:pPr>
              <w:rPr>
                <w:sz w:val="24"/>
                <w:szCs w:val="24"/>
              </w:rPr>
            </w:pPr>
            <w:r w:rsidRPr="00F07F8E">
              <w:rPr>
                <w:b/>
                <w:sz w:val="22"/>
                <w:szCs w:val="22"/>
              </w:rPr>
              <w:t>Корреспондентский счет: 30101810100000000787 в ГУ Банка России по Центральному федеральному округу</w:t>
            </w:r>
          </w:p>
          <w:p w14:paraId="4AE79CF2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</w:p>
          <w:p w14:paraId="327CC09D" w14:textId="77777777" w:rsidR="00ED6F5D" w:rsidRPr="004F76BB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0EF2844F" w14:textId="379956AF" w:rsidR="00FF4708" w:rsidRDefault="00FF4708" w:rsidP="00FF4708">
            <w:pPr>
              <w:jc w:val="center"/>
              <w:rPr>
                <w:b/>
                <w:sz w:val="22"/>
                <w:szCs w:val="22"/>
              </w:rPr>
            </w:pPr>
            <w:r w:rsidRPr="00FF4708">
              <w:rPr>
                <w:b/>
                <w:sz w:val="22"/>
                <w:szCs w:val="22"/>
              </w:rPr>
              <w:t>ООО «</w:t>
            </w:r>
            <w:r w:rsidR="00FB00F9" w:rsidRPr="00902086">
              <w:rPr>
                <w:b/>
                <w:sz w:val="22"/>
                <w:szCs w:val="22"/>
              </w:rPr>
              <w:t>Системы накопления энергии</w:t>
            </w:r>
            <w:r w:rsidRPr="00FF4708">
              <w:rPr>
                <w:b/>
                <w:sz w:val="22"/>
                <w:szCs w:val="22"/>
              </w:rPr>
              <w:t>»,</w:t>
            </w:r>
          </w:p>
          <w:p w14:paraId="5932FBBF" w14:textId="04560080" w:rsidR="00ED6F5D" w:rsidRPr="004F76BB" w:rsidRDefault="00ED6F5D" w:rsidP="00ED6F5D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FB00F9">
              <w:rPr>
                <w:b/>
                <w:sz w:val="22"/>
                <w:szCs w:val="22"/>
              </w:rPr>
              <w:t>Сильченко Е.А.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14ADECB3" w14:textId="13F0BBB6" w:rsidR="0080584F" w:rsidRPr="00EB1A75" w:rsidRDefault="00ED6F5D" w:rsidP="00ED6F5D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DE712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D7BD" w14:textId="77777777" w:rsidR="000E5661" w:rsidRDefault="000E5661">
      <w:r>
        <w:separator/>
      </w:r>
    </w:p>
  </w:endnote>
  <w:endnote w:type="continuationSeparator" w:id="0">
    <w:p w14:paraId="204EEB6F" w14:textId="77777777" w:rsidR="000E5661" w:rsidRDefault="000E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373EE9CF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FB00F9">
            <w:rPr>
              <w:sz w:val="22"/>
              <w:szCs w:val="22"/>
            </w:rPr>
            <w:t>Сильченко Е.А.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23295" w14:textId="77777777" w:rsidR="000E5661" w:rsidRDefault="000E5661">
      <w:r>
        <w:separator/>
      </w:r>
    </w:p>
  </w:footnote>
  <w:footnote w:type="continuationSeparator" w:id="0">
    <w:p w14:paraId="028E0FE0" w14:textId="77777777" w:rsidR="000E5661" w:rsidRDefault="000E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09477188">
    <w:abstractNumId w:val="9"/>
  </w:num>
  <w:num w:numId="2" w16cid:durableId="2117286873">
    <w:abstractNumId w:val="8"/>
  </w:num>
  <w:num w:numId="3" w16cid:durableId="346835199">
    <w:abstractNumId w:val="11"/>
  </w:num>
  <w:num w:numId="4" w16cid:durableId="1638800995">
    <w:abstractNumId w:val="5"/>
  </w:num>
  <w:num w:numId="5" w16cid:durableId="1965307377">
    <w:abstractNumId w:val="3"/>
  </w:num>
  <w:num w:numId="6" w16cid:durableId="298996623">
    <w:abstractNumId w:val="2"/>
  </w:num>
  <w:num w:numId="7" w16cid:durableId="299463727">
    <w:abstractNumId w:val="1"/>
  </w:num>
  <w:num w:numId="8" w16cid:durableId="1182813391">
    <w:abstractNumId w:val="6"/>
  </w:num>
  <w:num w:numId="9" w16cid:durableId="119494745">
    <w:abstractNumId w:val="7"/>
  </w:num>
  <w:num w:numId="10" w16cid:durableId="12192590">
    <w:abstractNumId w:val="4"/>
  </w:num>
  <w:num w:numId="11" w16cid:durableId="1611934547">
    <w:abstractNumId w:val="10"/>
  </w:num>
  <w:num w:numId="12" w16cid:durableId="147621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F"/>
    <w:rsid w:val="00007925"/>
    <w:rsid w:val="000106A3"/>
    <w:rsid w:val="0002697C"/>
    <w:rsid w:val="00031F20"/>
    <w:rsid w:val="000B6F2D"/>
    <w:rsid w:val="000C540D"/>
    <w:rsid w:val="000E4FE8"/>
    <w:rsid w:val="000E5661"/>
    <w:rsid w:val="00131154"/>
    <w:rsid w:val="00146A00"/>
    <w:rsid w:val="001B5828"/>
    <w:rsid w:val="001D0BEA"/>
    <w:rsid w:val="00244BBC"/>
    <w:rsid w:val="00250AFB"/>
    <w:rsid w:val="00285782"/>
    <w:rsid w:val="002A6C69"/>
    <w:rsid w:val="002E09FB"/>
    <w:rsid w:val="003061A6"/>
    <w:rsid w:val="00332F43"/>
    <w:rsid w:val="00336FB6"/>
    <w:rsid w:val="003400E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35B36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7E0A62"/>
    <w:rsid w:val="0080584F"/>
    <w:rsid w:val="00850967"/>
    <w:rsid w:val="008650CE"/>
    <w:rsid w:val="00902086"/>
    <w:rsid w:val="0092643B"/>
    <w:rsid w:val="009309B1"/>
    <w:rsid w:val="00936C2B"/>
    <w:rsid w:val="00937F12"/>
    <w:rsid w:val="00982BE6"/>
    <w:rsid w:val="009E6349"/>
    <w:rsid w:val="00A02882"/>
    <w:rsid w:val="00A4305E"/>
    <w:rsid w:val="00A76748"/>
    <w:rsid w:val="00AE064A"/>
    <w:rsid w:val="00AE28E0"/>
    <w:rsid w:val="00AE48A1"/>
    <w:rsid w:val="00AE6632"/>
    <w:rsid w:val="00AF7D7C"/>
    <w:rsid w:val="00B514B3"/>
    <w:rsid w:val="00B615E9"/>
    <w:rsid w:val="00BE7344"/>
    <w:rsid w:val="00C52DA4"/>
    <w:rsid w:val="00C6188B"/>
    <w:rsid w:val="00C64BC5"/>
    <w:rsid w:val="00CE1C60"/>
    <w:rsid w:val="00D03565"/>
    <w:rsid w:val="00D24998"/>
    <w:rsid w:val="00D51125"/>
    <w:rsid w:val="00D65F63"/>
    <w:rsid w:val="00DA0929"/>
    <w:rsid w:val="00DD19D5"/>
    <w:rsid w:val="00DE4000"/>
    <w:rsid w:val="00DE7128"/>
    <w:rsid w:val="00E0491D"/>
    <w:rsid w:val="00E36938"/>
    <w:rsid w:val="00E81B7F"/>
    <w:rsid w:val="00EB1A75"/>
    <w:rsid w:val="00ED6F5D"/>
    <w:rsid w:val="00F07F8E"/>
    <w:rsid w:val="00F2533B"/>
    <w:rsid w:val="00F27327"/>
    <w:rsid w:val="00F50965"/>
    <w:rsid w:val="00F66658"/>
    <w:rsid w:val="00F7505F"/>
    <w:rsid w:val="00F9046E"/>
    <w:rsid w:val="00FB00F9"/>
    <w:rsid w:val="00FE1708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Evgeny Silchenko</cp:lastModifiedBy>
  <cp:revision>3</cp:revision>
  <cp:lastPrinted>2016-11-30T12:29:00Z</cp:lastPrinted>
  <dcterms:created xsi:type="dcterms:W3CDTF">2024-09-11T08:55:00Z</dcterms:created>
  <dcterms:modified xsi:type="dcterms:W3CDTF">2024-09-11T08:59:00Z</dcterms:modified>
</cp:coreProperties>
</file>