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8966–ОТПП/1/5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168 единиц.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
Особенности предмета продажи: 1) предмет продажи представляет титулы собственности на транспортные средства и самоходную технику, что обусловлено физическим отсутствием в ведении конкурсного управляющего, должника указанного имущества, сведения о местонахождении имущества отсутствуют. 2) Осмотр предмета торгов не производится. 3) На транспортные средства и самоходную технику отсутствуют правоустанавливающие документы, ПТС, ПСМ и СТС имеются только частично в оригиналах и копиях и высылаются по запросу..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16 264 656.00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03.10.2024 12:00:00 ⇆ 06.10.2024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2024 года, время:  11:59:02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ИНН:781446604629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2024 года, время:  11:57:30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ИНН:325506851670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2024 года, время:  11:56:41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Лепилин Александр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ИНН:720401174768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2024 года, время:  11:59:02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Негодуйко Марк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ИНН:781446604629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2024 года, время:  11:56:41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Лепилин Александр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ИНН:720401174768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2024 года, время:  11:57:30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Барков Руслан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ИНН:325506851670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