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12C45E30" w:rsidR="00395672" w:rsidRPr="002127D2" w:rsidRDefault="00CB1BBF" w:rsidP="00395672">
      <w:pPr>
        <w:spacing w:line="228" w:lineRule="auto"/>
        <w:ind w:firstLine="708"/>
        <w:jc w:val="both"/>
        <w:rPr>
          <w:sz w:val="22"/>
          <w:szCs w:val="22"/>
          <w:lang w:eastAsia="ru-RU"/>
        </w:rPr>
      </w:pPr>
      <w:proofErr w:type="gramStart"/>
      <w:r w:rsidRPr="00CB1BBF">
        <w:rPr>
          <w:b/>
          <w:bCs/>
          <w:sz w:val="22"/>
          <w:szCs w:val="22"/>
          <w:lang w:eastAsia="ru-RU"/>
        </w:rPr>
        <w:t xml:space="preserve">Акционерное общество «ПЕТЕРБУРГСКОЕ АГЕНТСТВО НЕДВИЖИМОСТИ» (АО «ПАН», </w:t>
      </w:r>
      <w:r w:rsidRPr="00CB1BBF">
        <w:rPr>
          <w:bCs/>
          <w:sz w:val="22"/>
          <w:szCs w:val="22"/>
          <w:lang w:eastAsia="ru-RU"/>
        </w:rPr>
        <w:t xml:space="preserve">ОГРН 1027809251535, ИНН 7808046915, адрес: 187780, ОБЛАСТЬ ЛЕНИНГРАДСКАЯ, РАЙОН ПОДПОРОЖСКИЙ, ГОРОД ПОДПОРОЖЬЕ, УЛИЦА СОВЕТСКАЯ, ДОМ 7, ОФИС 6), в рамках осуществления процедуры конкурсного производства по делу №А56-32913/2022, рассматриваемому Арбитражным судом Санкт-Петербурга и Ленинградской области, в лице конкурного управляющего </w:t>
      </w:r>
      <w:proofErr w:type="spellStart"/>
      <w:r w:rsidRPr="00CB1BBF">
        <w:rPr>
          <w:bCs/>
          <w:sz w:val="22"/>
          <w:szCs w:val="22"/>
          <w:lang w:eastAsia="ru-RU"/>
        </w:rPr>
        <w:t>Бутолина</w:t>
      </w:r>
      <w:proofErr w:type="spellEnd"/>
      <w:r w:rsidRPr="00CB1BBF">
        <w:rPr>
          <w:bCs/>
          <w:sz w:val="22"/>
          <w:szCs w:val="22"/>
          <w:lang w:eastAsia="ru-RU"/>
        </w:rPr>
        <w:t xml:space="preserve"> Олега Алексеевича (ИНН 181600051108) , утвержденного Решением Арбитражного суда города Санкт-Петербурга и Ленинградской области</w:t>
      </w:r>
      <w:proofErr w:type="gramEnd"/>
      <w:r w:rsidRPr="00CB1BBF">
        <w:rPr>
          <w:bCs/>
          <w:sz w:val="22"/>
          <w:szCs w:val="22"/>
          <w:lang w:eastAsia="ru-RU"/>
        </w:rPr>
        <w:t xml:space="preserve"> </w:t>
      </w:r>
      <w:proofErr w:type="gramStart"/>
      <w:r w:rsidRPr="00CB1BBF">
        <w:rPr>
          <w:bCs/>
          <w:sz w:val="22"/>
          <w:szCs w:val="22"/>
          <w:lang w:eastAsia="ru-RU"/>
        </w:rPr>
        <w:t>от 06.09.2022 г. по делу № А56-32913/2022, член Союза "СРО АУ "Стратегия" (ОГРН 1023601559035, ИНН 3666101342, адрес: 123308, г. Москва, проспект Маршала Жукова, д.6, стр.1)</w:t>
      </w:r>
      <w:r w:rsidR="00395672" w:rsidRPr="00CB1BBF">
        <w:rPr>
          <w:sz w:val="22"/>
          <w:szCs w:val="22"/>
          <w:lang w:eastAsia="ru-RU"/>
        </w:rPr>
        <w:t>,</w:t>
      </w:r>
      <w:r w:rsidR="00395672" w:rsidRPr="002127D2">
        <w:rPr>
          <w:sz w:val="22"/>
          <w:szCs w:val="22"/>
          <w:lang w:eastAsia="ru-RU"/>
        </w:rPr>
        <w:t xml:space="preserve"> именуемое в дальнейшем </w:t>
      </w:r>
      <w:r w:rsidR="00395672" w:rsidRPr="002127D2">
        <w:rPr>
          <w:b/>
          <w:sz w:val="22"/>
          <w:szCs w:val="22"/>
          <w:lang w:eastAsia="ru-RU"/>
        </w:rPr>
        <w:t>«</w:t>
      </w:r>
      <w:r w:rsidR="00B53826" w:rsidRPr="002127D2">
        <w:rPr>
          <w:b/>
          <w:sz w:val="22"/>
          <w:szCs w:val="22"/>
          <w:lang w:eastAsia="ru-RU"/>
        </w:rPr>
        <w:t>Цедент</w:t>
      </w:r>
      <w:r w:rsidR="00395672" w:rsidRPr="002127D2">
        <w:rPr>
          <w:b/>
          <w:sz w:val="22"/>
          <w:szCs w:val="22"/>
          <w:lang w:eastAsia="ru-RU"/>
        </w:rPr>
        <w:t>»</w:t>
      </w:r>
      <w:r w:rsidR="00395672" w:rsidRPr="002127D2">
        <w:rPr>
          <w:sz w:val="22"/>
          <w:szCs w:val="22"/>
          <w:lang w:eastAsia="ru-RU"/>
        </w:rPr>
        <w:t xml:space="preserve"> с одной стороны, и </w:t>
      </w:r>
      <w:r w:rsidR="00395672" w:rsidRPr="002127D2">
        <w:rPr>
          <w:bCs/>
          <w:sz w:val="22"/>
          <w:szCs w:val="22"/>
          <w:lang w:eastAsia="ru-RU"/>
        </w:rPr>
        <w:t xml:space="preserve"> </w:t>
      </w:r>
      <w:r w:rsidR="00395672" w:rsidRPr="002127D2">
        <w:rPr>
          <w:sz w:val="22"/>
          <w:szCs w:val="22"/>
          <w:lang w:eastAsia="ru-RU"/>
        </w:rPr>
        <w:t xml:space="preserve"> </w:t>
      </w:r>
      <w:proofErr w:type="gramEnd"/>
    </w:p>
    <w:p w14:paraId="6C5B3DDC" w14:textId="3C261A0F" w:rsidR="00FE65BF" w:rsidRPr="002127D2" w:rsidRDefault="00FE65BF" w:rsidP="00E77A3D">
      <w:pPr>
        <w:shd w:val="clear" w:color="auto" w:fill="FFFFFF"/>
        <w:ind w:left="36" w:firstLine="531"/>
        <w:jc w:val="both"/>
        <w:rPr>
          <w:sz w:val="22"/>
          <w:szCs w:val="22"/>
        </w:rPr>
      </w:pPr>
      <w:proofErr w:type="gramStart"/>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roofErr w:type="gramEnd"/>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«__»____________20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 xml:space="preserve">Проведение электронных торгов осуществляется оператором электронной торговой площадки ________________, аккредитованным </w:t>
      </w:r>
      <w:proofErr w:type="gramStart"/>
      <w:r w:rsidRPr="002127D2">
        <w:rPr>
          <w:sz w:val="22"/>
          <w:szCs w:val="22"/>
        </w:rPr>
        <w:t>при</w:t>
      </w:r>
      <w:proofErr w:type="gramEnd"/>
      <w:r w:rsidRPr="002127D2">
        <w:rPr>
          <w:sz w:val="22"/>
          <w:szCs w:val="22"/>
        </w:rPr>
        <w:t xml:space="preserve"> _______________: </w:t>
      </w:r>
      <w:proofErr w:type="gramStart"/>
      <w:r w:rsidRPr="002127D2">
        <w:rPr>
          <w:sz w:val="22"/>
          <w:szCs w:val="22"/>
        </w:rPr>
        <w:t>(Оператор - ________, место нахождения: ____________, сайт в сети Интернет: ___________, телефон/факс: _______.</w:t>
      </w:r>
      <w:proofErr w:type="gramEnd"/>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003628E5" w14:textId="423CEAB3" w:rsidR="00CB1BBF" w:rsidRPr="00CB1BBF" w:rsidRDefault="00FE65BF" w:rsidP="00CB1BBF">
      <w:pPr>
        <w:numPr>
          <w:ilvl w:val="2"/>
          <w:numId w:val="1"/>
        </w:numPr>
        <w:tabs>
          <w:tab w:val="num" w:pos="885"/>
        </w:tabs>
        <w:spacing w:before="40"/>
        <w:jc w:val="both"/>
        <w:rPr>
          <w:sz w:val="22"/>
          <w:szCs w:val="22"/>
          <w:lang w:eastAsia="ru-RU"/>
        </w:rPr>
      </w:pPr>
      <w:r w:rsidRPr="00CB1BBF">
        <w:rPr>
          <w:b/>
          <w:sz w:val="22"/>
          <w:szCs w:val="22"/>
          <w:lang w:eastAsia="ru-RU"/>
        </w:rPr>
        <w:t>Цедент</w:t>
      </w:r>
      <w:r w:rsidRPr="00CB1BBF">
        <w:rPr>
          <w:sz w:val="22"/>
          <w:szCs w:val="22"/>
          <w:lang w:eastAsia="ru-RU"/>
        </w:rPr>
        <w:t xml:space="preserve"> – </w:t>
      </w:r>
      <w:r w:rsidR="00CB1BBF" w:rsidRPr="00CB1BBF">
        <w:rPr>
          <w:sz w:val="22"/>
          <w:szCs w:val="22"/>
        </w:rPr>
        <w:t>АО «ПАН» (ОГРН 1027809251535, ИНН 7808046915, адрес: 187780, ОБЛАСТЬ ЛЕНИНГРАДСКАЯ, РАЙОН ПОДПОРОЖСКИЙ, ГОРОД ПОДПОРОЖЬЕ, УЛИЦА СОВЕТСКАЯ, ДОМ 7, ОФИС 6)</w:t>
      </w:r>
    </w:p>
    <w:p w14:paraId="11498041" w14:textId="7D2E6874" w:rsidR="00FE65BF" w:rsidRPr="00CB1BBF" w:rsidRDefault="00FE65BF" w:rsidP="00CB1BBF">
      <w:pPr>
        <w:numPr>
          <w:ilvl w:val="2"/>
          <w:numId w:val="1"/>
        </w:numPr>
        <w:tabs>
          <w:tab w:val="num" w:pos="885"/>
        </w:tabs>
        <w:spacing w:before="40"/>
        <w:jc w:val="both"/>
        <w:rPr>
          <w:sz w:val="22"/>
          <w:szCs w:val="22"/>
          <w:lang w:eastAsia="ru-RU"/>
        </w:rPr>
      </w:pPr>
      <w:r w:rsidRPr="00CB1BBF">
        <w:rPr>
          <w:b/>
          <w:sz w:val="22"/>
          <w:szCs w:val="22"/>
          <w:lang w:eastAsia="ru-RU"/>
        </w:rPr>
        <w:t>Цессионарий</w:t>
      </w:r>
      <w:proofErr w:type="gramStart"/>
      <w:r w:rsidRPr="00CB1BBF">
        <w:rPr>
          <w:sz w:val="22"/>
          <w:szCs w:val="22"/>
          <w:lang w:eastAsia="ru-RU"/>
        </w:rPr>
        <w:t xml:space="preserve"> – </w:t>
      </w:r>
      <w:r w:rsidRPr="00CB1BBF">
        <w:rPr>
          <w:sz w:val="22"/>
          <w:szCs w:val="22"/>
        </w:rPr>
        <w:t>______________________________________________________________;</w:t>
      </w:r>
      <w:proofErr w:type="gramEnd"/>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proofErr w:type="gramStart"/>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roofErr w:type="gramEnd"/>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proofErr w:type="gramStart"/>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proofErr w:type="gramStart"/>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w:t>
      </w:r>
      <w:proofErr w:type="gramEnd"/>
      <w:r w:rsidRPr="002127D2">
        <w:rPr>
          <w:sz w:val="22"/>
          <w:szCs w:val="22"/>
          <w:lang w:eastAsia="ru-RU"/>
        </w:rPr>
        <w:t xml:space="preserve"> которых </w:t>
      </w:r>
      <w:proofErr w:type="gramStart"/>
      <w:r w:rsidRPr="002127D2">
        <w:rPr>
          <w:sz w:val="22"/>
          <w:szCs w:val="22"/>
          <w:lang w:eastAsia="ru-RU"/>
        </w:rPr>
        <w:t>возложена</w:t>
      </w:r>
      <w:proofErr w:type="gramEnd"/>
      <w:r w:rsidRPr="002127D2">
        <w:rPr>
          <w:sz w:val="22"/>
          <w:szCs w:val="22"/>
          <w:lang w:eastAsia="ru-RU"/>
        </w:rPr>
        <w:t xml:space="preserve">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proofErr w:type="gramStart"/>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lastRenderedPageBreak/>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2127D2">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 xml:space="preserve">требовать от Цессионария </w:t>
      </w:r>
      <w:proofErr w:type="gramStart"/>
      <w:r w:rsidRPr="002127D2">
        <w:rPr>
          <w:sz w:val="22"/>
          <w:szCs w:val="22"/>
        </w:rPr>
        <w:t>оплаты стоимости уступки Прав требования</w:t>
      </w:r>
      <w:proofErr w:type="gramEnd"/>
      <w:r w:rsidRPr="002127D2">
        <w:rPr>
          <w:sz w:val="22"/>
          <w:szCs w:val="22"/>
        </w:rPr>
        <w:t xml:space="preserve">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lastRenderedPageBreak/>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2127D2">
        <w:rPr>
          <w:sz w:val="22"/>
          <w:szCs w:val="22"/>
        </w:rPr>
        <w:t>незаключенными</w:t>
      </w:r>
      <w:proofErr w:type="gramEnd"/>
      <w:r w:rsidRPr="002127D2">
        <w:rPr>
          <w:sz w:val="22"/>
          <w:szCs w:val="22"/>
        </w:rPr>
        <w:t xml:space="preserve">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 xml:space="preserve">полное, исчерпывающее и достаточное изучение </w:t>
      </w:r>
      <w:proofErr w:type="gramStart"/>
      <w:r w:rsidRPr="002127D2">
        <w:rPr>
          <w:sz w:val="22"/>
          <w:szCs w:val="22"/>
        </w:rPr>
        <w:t>оснований возникновения Прав требования Цедента</w:t>
      </w:r>
      <w:proofErr w:type="gramEnd"/>
      <w:r w:rsidRPr="002127D2">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2127D2">
        <w:rPr>
          <w:sz w:val="22"/>
          <w:szCs w:val="22"/>
        </w:rPr>
        <w:t>с даты получения</w:t>
      </w:r>
      <w:proofErr w:type="gramEnd"/>
      <w:r w:rsidRPr="002127D2">
        <w:rPr>
          <w:sz w:val="22"/>
          <w:szCs w:val="22"/>
        </w:rPr>
        <w:t xml:space="preserve">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lastRenderedPageBreak/>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w:t>
      </w:r>
      <w:proofErr w:type="gramStart"/>
      <w:r w:rsidRPr="002127D2">
        <w:rPr>
          <w:spacing w:val="1"/>
          <w:sz w:val="22"/>
          <w:szCs w:val="22"/>
        </w:rPr>
        <w:t>оплаты Стоимости уступки прав требования</w:t>
      </w:r>
      <w:proofErr w:type="gramEnd"/>
      <w:r w:rsidRPr="002127D2">
        <w:rPr>
          <w:spacing w:val="1"/>
          <w:sz w:val="22"/>
          <w:szCs w:val="22"/>
        </w:rPr>
        <w:t>.</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 xml:space="preserve">в качестве </w:t>
      </w:r>
      <w:proofErr w:type="gramStart"/>
      <w:r w:rsidRPr="002127D2">
        <w:rPr>
          <w:spacing w:val="1"/>
          <w:sz w:val="22"/>
          <w:szCs w:val="22"/>
        </w:rPr>
        <w:t>оплаты Стоимости уступки прав требования</w:t>
      </w:r>
      <w:proofErr w:type="gramEnd"/>
      <w:r w:rsidRPr="002127D2">
        <w:rPr>
          <w:spacing w:val="1"/>
          <w:sz w:val="22"/>
          <w:szCs w:val="22"/>
        </w:rPr>
        <w:t xml:space="preserve">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2127D2">
        <w:rPr>
          <w:spacing w:val="1"/>
          <w:sz w:val="22"/>
          <w:szCs w:val="22"/>
        </w:rPr>
        <w:t>с даты наступления</w:t>
      </w:r>
      <w:proofErr w:type="gramEnd"/>
      <w:r w:rsidRPr="002127D2">
        <w:rPr>
          <w:spacing w:val="1"/>
          <w:sz w:val="22"/>
          <w:szCs w:val="22"/>
        </w:rPr>
        <w:t xml:space="preserve">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w:t>
      </w:r>
      <w:proofErr w:type="gramStart"/>
      <w:r w:rsidRPr="002127D2">
        <w:rPr>
          <w:spacing w:val="1"/>
          <w:sz w:val="22"/>
          <w:szCs w:val="22"/>
        </w:rPr>
        <w:t>,</w:t>
      </w:r>
      <w:proofErr w:type="gramEnd"/>
      <w:r w:rsidRPr="002127D2">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lastRenderedPageBreak/>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 xml:space="preserve">При </w:t>
      </w:r>
      <w:proofErr w:type="gramStart"/>
      <w:r w:rsidRPr="002127D2">
        <w:rPr>
          <w:spacing w:val="1"/>
          <w:sz w:val="22"/>
          <w:szCs w:val="22"/>
        </w:rPr>
        <w:t>не достижении</w:t>
      </w:r>
      <w:proofErr w:type="gramEnd"/>
      <w:r w:rsidRPr="002127D2">
        <w:rPr>
          <w:spacing w:val="1"/>
          <w:sz w:val="22"/>
          <w:szCs w:val="22"/>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2127D2">
        <w:rPr>
          <w:spacing w:val="1"/>
          <w:sz w:val="22"/>
          <w:szCs w:val="22"/>
        </w:rPr>
        <w:t>с даты</w:t>
      </w:r>
      <w:proofErr w:type="gramEnd"/>
      <w:r w:rsidRPr="002127D2">
        <w:rPr>
          <w:spacing w:val="1"/>
          <w:sz w:val="22"/>
          <w:szCs w:val="22"/>
        </w:rPr>
        <w:t xml:space="preserve">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2127D2">
        <w:rPr>
          <w:spacing w:val="-2"/>
          <w:sz w:val="22"/>
          <w:szCs w:val="22"/>
        </w:rPr>
        <w:t>Joint</w:t>
      </w:r>
      <w:proofErr w:type="spellEnd"/>
      <w:r w:rsidRPr="002127D2">
        <w:rPr>
          <w:spacing w:val="-2"/>
          <w:sz w:val="22"/>
          <w:szCs w:val="22"/>
        </w:rPr>
        <w:t xml:space="preserve"> </w:t>
      </w:r>
      <w:proofErr w:type="spellStart"/>
      <w:r w:rsidRPr="002127D2">
        <w:rPr>
          <w:spacing w:val="-2"/>
          <w:sz w:val="22"/>
          <w:szCs w:val="22"/>
        </w:rPr>
        <w:t>Photographic</w:t>
      </w:r>
      <w:proofErr w:type="spellEnd"/>
      <w:r w:rsidRPr="002127D2">
        <w:rPr>
          <w:spacing w:val="-2"/>
          <w:sz w:val="22"/>
          <w:szCs w:val="22"/>
        </w:rPr>
        <w:t xml:space="preserve"> </w:t>
      </w:r>
      <w:proofErr w:type="spellStart"/>
      <w:r w:rsidRPr="002127D2">
        <w:rPr>
          <w:spacing w:val="-2"/>
          <w:sz w:val="22"/>
          <w:szCs w:val="22"/>
        </w:rPr>
        <w:t>Expert</w:t>
      </w:r>
      <w:proofErr w:type="spellEnd"/>
      <w:r w:rsidRPr="002127D2">
        <w:rPr>
          <w:spacing w:val="-2"/>
          <w:sz w:val="22"/>
          <w:szCs w:val="22"/>
        </w:rPr>
        <w:t xml:space="preserve"> </w:t>
      </w:r>
      <w:proofErr w:type="spellStart"/>
      <w:r w:rsidRPr="002127D2">
        <w:rPr>
          <w:spacing w:val="-2"/>
          <w:sz w:val="22"/>
          <w:szCs w:val="22"/>
        </w:rPr>
        <w:t>Group</w:t>
      </w:r>
      <w:proofErr w:type="spellEnd"/>
      <w:r w:rsidRPr="002127D2">
        <w:rPr>
          <w:spacing w:val="-2"/>
          <w:sz w:val="22"/>
          <w:szCs w:val="22"/>
        </w:rPr>
        <w:t xml:space="preserve"> (JPEG, </w:t>
      </w:r>
      <w:proofErr w:type="spellStart"/>
      <w:r w:rsidRPr="002127D2">
        <w:rPr>
          <w:spacing w:val="-2"/>
          <w:sz w:val="22"/>
          <w:szCs w:val="22"/>
        </w:rPr>
        <w:t>jpg</w:t>
      </w:r>
      <w:proofErr w:type="spellEnd"/>
      <w:r w:rsidRPr="002127D2">
        <w:rPr>
          <w:spacing w:val="-2"/>
          <w:sz w:val="22"/>
          <w:szCs w:val="22"/>
        </w:rPr>
        <w:t xml:space="preserve">) или </w:t>
      </w:r>
      <w:proofErr w:type="spellStart"/>
      <w:r w:rsidRPr="002127D2">
        <w:rPr>
          <w:spacing w:val="-2"/>
          <w:sz w:val="22"/>
          <w:szCs w:val="22"/>
        </w:rPr>
        <w:t>Portable</w:t>
      </w:r>
      <w:proofErr w:type="spellEnd"/>
      <w:r w:rsidRPr="002127D2">
        <w:rPr>
          <w:spacing w:val="-2"/>
          <w:sz w:val="22"/>
          <w:szCs w:val="22"/>
        </w:rPr>
        <w:t xml:space="preserve"> </w:t>
      </w:r>
      <w:proofErr w:type="spellStart"/>
      <w:r w:rsidRPr="002127D2">
        <w:rPr>
          <w:spacing w:val="-2"/>
          <w:sz w:val="22"/>
          <w:szCs w:val="22"/>
        </w:rPr>
        <w:t>Document</w:t>
      </w:r>
      <w:proofErr w:type="spellEnd"/>
      <w:r w:rsidRPr="002127D2">
        <w:rPr>
          <w:spacing w:val="-2"/>
          <w:sz w:val="22"/>
          <w:szCs w:val="22"/>
        </w:rPr>
        <w:t xml:space="preserve"> </w:t>
      </w:r>
      <w:proofErr w:type="spellStart"/>
      <w:r w:rsidRPr="002127D2">
        <w:rPr>
          <w:spacing w:val="-2"/>
          <w:sz w:val="22"/>
          <w:szCs w:val="22"/>
        </w:rPr>
        <w:t>Format</w:t>
      </w:r>
      <w:proofErr w:type="spellEnd"/>
      <w:r w:rsidRPr="002127D2">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2127D2">
        <w:rPr>
          <w:spacing w:val="-2"/>
          <w:sz w:val="22"/>
          <w:szCs w:val="22"/>
        </w:rPr>
        <w:t>4</w:t>
      </w:r>
      <w:proofErr w:type="gramEnd"/>
      <w:r w:rsidRPr="002127D2">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2127D2">
        <w:rPr>
          <w:spacing w:val="-2"/>
          <w:sz w:val="22"/>
          <w:szCs w:val="22"/>
        </w:rPr>
        <w:t>с даты направления</w:t>
      </w:r>
      <w:proofErr w:type="gramEnd"/>
      <w:r w:rsidRPr="002127D2">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FB54CF" w:rsidRDefault="00431441" w:rsidP="00892298">
            <w:pPr>
              <w:rPr>
                <w:b/>
                <w:sz w:val="22"/>
                <w:szCs w:val="22"/>
              </w:rPr>
            </w:pPr>
            <w:r w:rsidRPr="00FB54CF">
              <w:rPr>
                <w:b/>
                <w:sz w:val="22"/>
                <w:szCs w:val="22"/>
              </w:rPr>
              <w:t>ЦЕДЕНТ:</w:t>
            </w:r>
          </w:p>
          <w:p w14:paraId="3DDBB399" w14:textId="77777777" w:rsidR="003070A9" w:rsidRPr="003070A9" w:rsidRDefault="003070A9" w:rsidP="003070A9">
            <w:pPr>
              <w:rPr>
                <w:b/>
                <w:sz w:val="22"/>
                <w:szCs w:val="22"/>
              </w:rPr>
            </w:pPr>
            <w:r w:rsidRPr="003070A9">
              <w:rPr>
                <w:b/>
                <w:sz w:val="22"/>
                <w:szCs w:val="22"/>
              </w:rPr>
              <w:t>АО «ПАН»</w:t>
            </w:r>
          </w:p>
          <w:p w14:paraId="3085C37C" w14:textId="77777777" w:rsidR="003070A9" w:rsidRPr="003070A9" w:rsidRDefault="003070A9" w:rsidP="003070A9">
            <w:pPr>
              <w:rPr>
                <w:b/>
                <w:sz w:val="22"/>
                <w:szCs w:val="22"/>
              </w:rPr>
            </w:pPr>
          </w:p>
          <w:p w14:paraId="16A929CA" w14:textId="77777777" w:rsidR="003070A9" w:rsidRPr="003070A9" w:rsidRDefault="003070A9" w:rsidP="003070A9">
            <w:pPr>
              <w:rPr>
                <w:b/>
                <w:sz w:val="22"/>
                <w:szCs w:val="22"/>
              </w:rPr>
            </w:pPr>
            <w:r w:rsidRPr="003070A9">
              <w:rPr>
                <w:b/>
                <w:sz w:val="22"/>
                <w:szCs w:val="22"/>
              </w:rPr>
              <w:t xml:space="preserve">ОГРН 1027809251535, ИНН 7808046915, </w:t>
            </w:r>
          </w:p>
          <w:p w14:paraId="72B4F7A2" w14:textId="77777777" w:rsidR="003070A9" w:rsidRPr="003070A9" w:rsidRDefault="003070A9" w:rsidP="003070A9">
            <w:pPr>
              <w:rPr>
                <w:b/>
                <w:sz w:val="22"/>
                <w:szCs w:val="22"/>
              </w:rPr>
            </w:pPr>
            <w:r w:rsidRPr="003070A9">
              <w:rPr>
                <w:b/>
                <w:sz w:val="22"/>
                <w:szCs w:val="22"/>
              </w:rPr>
              <w:t>Адрес: 187780, ОБЛАСТЬ ЛЕНИНГРАДСКАЯ, РАЙОН ПОДПОРОЖСКИЙ, ГОРОД ПОДПОРОЖЬЕ, УЛИЦА СОВЕТСКАЯ, ДОМ 7, ОФИС 6</w:t>
            </w:r>
          </w:p>
          <w:p w14:paraId="238CE61C" w14:textId="77777777" w:rsidR="003070A9" w:rsidRPr="003070A9" w:rsidRDefault="003070A9" w:rsidP="003070A9">
            <w:pPr>
              <w:rPr>
                <w:b/>
                <w:sz w:val="22"/>
                <w:szCs w:val="22"/>
              </w:rPr>
            </w:pPr>
            <w:proofErr w:type="gramStart"/>
            <w:r w:rsidRPr="003070A9">
              <w:rPr>
                <w:b/>
                <w:sz w:val="22"/>
                <w:szCs w:val="22"/>
              </w:rPr>
              <w:t>р</w:t>
            </w:r>
            <w:proofErr w:type="gramEnd"/>
            <w:r w:rsidRPr="003070A9">
              <w:rPr>
                <w:b/>
                <w:sz w:val="22"/>
                <w:szCs w:val="22"/>
              </w:rPr>
              <w:t>/</w:t>
            </w:r>
            <w:proofErr w:type="spellStart"/>
            <w:r w:rsidRPr="003070A9">
              <w:rPr>
                <w:b/>
                <w:sz w:val="22"/>
                <w:szCs w:val="22"/>
              </w:rPr>
              <w:t>сч</w:t>
            </w:r>
            <w:proofErr w:type="spellEnd"/>
            <w:r w:rsidRPr="003070A9">
              <w:rPr>
                <w:b/>
                <w:sz w:val="22"/>
                <w:szCs w:val="22"/>
              </w:rPr>
              <w:t xml:space="preserve"> 40702 810855200139850</w:t>
            </w:r>
          </w:p>
          <w:p w14:paraId="6F6474FE" w14:textId="77777777" w:rsidR="003070A9" w:rsidRPr="003070A9" w:rsidRDefault="003070A9" w:rsidP="003070A9">
            <w:pPr>
              <w:rPr>
                <w:b/>
                <w:sz w:val="22"/>
                <w:szCs w:val="22"/>
              </w:rPr>
            </w:pPr>
            <w:r w:rsidRPr="003070A9">
              <w:rPr>
                <w:b/>
                <w:sz w:val="22"/>
                <w:szCs w:val="22"/>
              </w:rPr>
              <w:t>в ПАО Сбербанк,</w:t>
            </w:r>
          </w:p>
          <w:p w14:paraId="7BE936A5" w14:textId="77777777" w:rsidR="003070A9" w:rsidRPr="003070A9" w:rsidRDefault="003070A9" w:rsidP="003070A9">
            <w:pPr>
              <w:rPr>
                <w:b/>
                <w:sz w:val="22"/>
                <w:szCs w:val="22"/>
              </w:rPr>
            </w:pPr>
            <w:r w:rsidRPr="003070A9">
              <w:rPr>
                <w:b/>
                <w:sz w:val="22"/>
                <w:szCs w:val="22"/>
              </w:rPr>
              <w:t>БИК 044030653,</w:t>
            </w:r>
          </w:p>
          <w:p w14:paraId="3CE25A3E" w14:textId="77777777" w:rsidR="003070A9" w:rsidRPr="003070A9" w:rsidRDefault="003070A9" w:rsidP="003070A9">
            <w:pPr>
              <w:rPr>
                <w:b/>
                <w:sz w:val="22"/>
                <w:szCs w:val="22"/>
              </w:rPr>
            </w:pPr>
            <w:r w:rsidRPr="003070A9">
              <w:rPr>
                <w:b/>
                <w:sz w:val="22"/>
                <w:szCs w:val="22"/>
              </w:rPr>
              <w:t>к/</w:t>
            </w:r>
            <w:proofErr w:type="spellStart"/>
            <w:r w:rsidRPr="003070A9">
              <w:rPr>
                <w:b/>
                <w:sz w:val="22"/>
                <w:szCs w:val="22"/>
              </w:rPr>
              <w:t>сч</w:t>
            </w:r>
            <w:proofErr w:type="spellEnd"/>
            <w:r w:rsidRPr="003070A9">
              <w:rPr>
                <w:b/>
                <w:sz w:val="22"/>
                <w:szCs w:val="22"/>
              </w:rPr>
              <w:t xml:space="preserve"> 30101810500000000653.</w:t>
            </w:r>
          </w:p>
          <w:p w14:paraId="52ACD191" w14:textId="77777777" w:rsidR="003070A9" w:rsidRPr="003070A9" w:rsidRDefault="003070A9" w:rsidP="003070A9">
            <w:pPr>
              <w:rPr>
                <w:b/>
                <w:sz w:val="22"/>
                <w:szCs w:val="22"/>
              </w:rPr>
            </w:pPr>
          </w:p>
          <w:p w14:paraId="39891F2F" w14:textId="676034C3" w:rsidR="00395672" w:rsidRPr="00FB54CF" w:rsidRDefault="003070A9" w:rsidP="003070A9">
            <w:pPr>
              <w:rPr>
                <w:bCs/>
                <w:iCs/>
                <w:sz w:val="22"/>
                <w:szCs w:val="22"/>
              </w:rPr>
            </w:pPr>
            <w:bookmarkStart w:id="0" w:name="_GoBack"/>
            <w:bookmarkEnd w:id="0"/>
            <w:r w:rsidRPr="003070A9">
              <w:rPr>
                <w:b/>
                <w:sz w:val="22"/>
                <w:szCs w:val="22"/>
              </w:rPr>
              <w:lastRenderedPageBreak/>
              <w:tab/>
            </w:r>
            <w:r w:rsidRPr="003070A9">
              <w:rPr>
                <w:b/>
                <w:sz w:val="22"/>
                <w:szCs w:val="22"/>
              </w:rPr>
              <w:tab/>
            </w:r>
          </w:p>
        </w:tc>
        <w:tc>
          <w:tcPr>
            <w:tcW w:w="3941" w:type="dxa"/>
          </w:tcPr>
          <w:p w14:paraId="5C7E2477" w14:textId="77777777" w:rsidR="00431441" w:rsidRPr="00FB54CF" w:rsidRDefault="00431441" w:rsidP="00892298">
            <w:pPr>
              <w:rPr>
                <w:b/>
                <w:sz w:val="22"/>
                <w:szCs w:val="22"/>
              </w:rPr>
            </w:pPr>
            <w:r w:rsidRPr="00FB54CF">
              <w:rPr>
                <w:b/>
                <w:sz w:val="22"/>
                <w:szCs w:val="22"/>
              </w:rPr>
              <w:lastRenderedPageBreak/>
              <w:t>ЦЕССИОНАРИЙ:</w:t>
            </w:r>
          </w:p>
          <w:p w14:paraId="6E49D3A0" w14:textId="77777777" w:rsidR="00431441" w:rsidRPr="00FB54CF" w:rsidRDefault="00431441" w:rsidP="00892298">
            <w:pPr>
              <w:rPr>
                <w:sz w:val="22"/>
                <w:szCs w:val="22"/>
              </w:rPr>
            </w:pPr>
            <w:r w:rsidRPr="00FB54CF">
              <w:rPr>
                <w:sz w:val="22"/>
                <w:szCs w:val="22"/>
              </w:rPr>
              <w:t>Наименование</w:t>
            </w:r>
          </w:p>
          <w:p w14:paraId="21489EA2" w14:textId="77777777" w:rsidR="00431441" w:rsidRPr="00FB54CF" w:rsidRDefault="00431441" w:rsidP="00892298">
            <w:pPr>
              <w:rPr>
                <w:sz w:val="22"/>
                <w:szCs w:val="22"/>
              </w:rPr>
            </w:pPr>
            <w:r w:rsidRPr="00FB54CF">
              <w:rPr>
                <w:sz w:val="22"/>
                <w:szCs w:val="22"/>
              </w:rPr>
              <w:t>Иные реквизиты</w:t>
            </w:r>
          </w:p>
          <w:p w14:paraId="79FA69EA" w14:textId="77777777" w:rsidR="00431441" w:rsidRPr="00FB54CF" w:rsidRDefault="00431441" w:rsidP="00892298">
            <w:pPr>
              <w:rPr>
                <w:sz w:val="22"/>
                <w:szCs w:val="22"/>
              </w:rPr>
            </w:pPr>
            <w:r w:rsidRPr="00FB54CF">
              <w:rPr>
                <w:sz w:val="22"/>
                <w:szCs w:val="22"/>
              </w:rPr>
              <w:t>адрес</w:t>
            </w:r>
          </w:p>
          <w:p w14:paraId="16BE37A3" w14:textId="77777777" w:rsidR="00431441" w:rsidRPr="00FB54CF" w:rsidRDefault="00431441" w:rsidP="00892298">
            <w:pPr>
              <w:rPr>
                <w:sz w:val="22"/>
                <w:szCs w:val="22"/>
              </w:rPr>
            </w:pPr>
          </w:p>
          <w:p w14:paraId="1A6924FC" w14:textId="77777777" w:rsidR="00431441" w:rsidRPr="00FB54CF" w:rsidRDefault="00431441" w:rsidP="00892298">
            <w:pPr>
              <w:rPr>
                <w:sz w:val="22"/>
                <w:szCs w:val="22"/>
              </w:rPr>
            </w:pPr>
          </w:p>
          <w:p w14:paraId="4EBC96F0" w14:textId="77777777" w:rsidR="00431441" w:rsidRPr="00FB54CF" w:rsidRDefault="00431441" w:rsidP="00892298">
            <w:pPr>
              <w:rPr>
                <w:sz w:val="22"/>
                <w:szCs w:val="22"/>
              </w:rPr>
            </w:pPr>
            <w:proofErr w:type="gramStart"/>
            <w:r w:rsidRPr="00FB54CF">
              <w:rPr>
                <w:sz w:val="22"/>
                <w:szCs w:val="22"/>
              </w:rPr>
              <w:t>р</w:t>
            </w:r>
            <w:proofErr w:type="gramEnd"/>
            <w:r w:rsidRPr="00FB54CF">
              <w:rPr>
                <w:sz w:val="22"/>
                <w:szCs w:val="22"/>
              </w:rPr>
              <w:t>/с _______ в _______ (банк)</w:t>
            </w:r>
          </w:p>
          <w:p w14:paraId="33F7424A" w14:textId="77777777" w:rsidR="00431441" w:rsidRPr="00FB54CF" w:rsidRDefault="00431441" w:rsidP="00892298">
            <w:pPr>
              <w:rPr>
                <w:sz w:val="22"/>
                <w:szCs w:val="22"/>
              </w:rPr>
            </w:pPr>
            <w:proofErr w:type="spellStart"/>
            <w:proofErr w:type="gramStart"/>
            <w:r w:rsidRPr="00FB54CF">
              <w:rPr>
                <w:sz w:val="22"/>
                <w:szCs w:val="22"/>
              </w:rPr>
              <w:t>Корр</w:t>
            </w:r>
            <w:proofErr w:type="spellEnd"/>
            <w:proofErr w:type="gramEnd"/>
            <w:r w:rsidRPr="00FB54CF">
              <w:rPr>
                <w:sz w:val="22"/>
                <w:szCs w:val="22"/>
              </w:rPr>
              <w:t>/</w:t>
            </w:r>
            <w:proofErr w:type="spellStart"/>
            <w:r w:rsidRPr="00FB54CF">
              <w:rPr>
                <w:sz w:val="22"/>
                <w:szCs w:val="22"/>
              </w:rPr>
              <w:t>сч</w:t>
            </w:r>
            <w:proofErr w:type="spellEnd"/>
            <w:r w:rsidRPr="00FB54CF">
              <w:rPr>
                <w:sz w:val="22"/>
                <w:szCs w:val="22"/>
              </w:rPr>
              <w:t>. ____________</w:t>
            </w:r>
          </w:p>
          <w:p w14:paraId="2FB6E734" w14:textId="77777777" w:rsidR="00431441" w:rsidRPr="00FB54CF" w:rsidRDefault="00431441" w:rsidP="00892298">
            <w:pPr>
              <w:rPr>
                <w:sz w:val="22"/>
                <w:szCs w:val="22"/>
              </w:rPr>
            </w:pPr>
            <w:r w:rsidRPr="00FB54CF">
              <w:rPr>
                <w:sz w:val="22"/>
                <w:szCs w:val="22"/>
              </w:rPr>
              <w:t>БИК ________</w:t>
            </w:r>
          </w:p>
          <w:p w14:paraId="16D072F6" w14:textId="77777777" w:rsidR="00431441" w:rsidRPr="00FB54CF" w:rsidRDefault="00431441" w:rsidP="00892298">
            <w:pPr>
              <w:rPr>
                <w:sz w:val="22"/>
                <w:szCs w:val="22"/>
              </w:rPr>
            </w:pPr>
          </w:p>
        </w:tc>
      </w:tr>
      <w:tr w:rsidR="00431441" w:rsidRPr="00431441" w14:paraId="22B68892" w14:textId="77777777" w:rsidTr="00431441">
        <w:trPr>
          <w:trHeight w:val="1163"/>
        </w:trPr>
        <w:tc>
          <w:tcPr>
            <w:tcW w:w="4961" w:type="dxa"/>
            <w:hideMark/>
          </w:tcPr>
          <w:p w14:paraId="358F5CCE" w14:textId="77777777" w:rsidR="003070A9" w:rsidRPr="003070A9" w:rsidRDefault="003070A9" w:rsidP="003070A9">
            <w:pPr>
              <w:rPr>
                <w:b/>
                <w:sz w:val="22"/>
                <w:szCs w:val="22"/>
              </w:rPr>
            </w:pPr>
            <w:r w:rsidRPr="003070A9">
              <w:rPr>
                <w:b/>
                <w:sz w:val="22"/>
                <w:szCs w:val="22"/>
              </w:rPr>
              <w:lastRenderedPageBreak/>
              <w:t>Конкурсный управляющий</w:t>
            </w:r>
          </w:p>
          <w:p w14:paraId="57E8226D" w14:textId="77777777" w:rsidR="003070A9" w:rsidRPr="003070A9" w:rsidRDefault="003070A9" w:rsidP="003070A9">
            <w:pPr>
              <w:rPr>
                <w:b/>
                <w:sz w:val="22"/>
                <w:szCs w:val="22"/>
              </w:rPr>
            </w:pPr>
            <w:r w:rsidRPr="003070A9">
              <w:rPr>
                <w:b/>
                <w:sz w:val="22"/>
                <w:szCs w:val="22"/>
              </w:rPr>
              <w:t>АО «ПАН»</w:t>
            </w:r>
          </w:p>
          <w:p w14:paraId="7F7D9665" w14:textId="77777777" w:rsidR="003070A9" w:rsidRPr="003070A9" w:rsidRDefault="003070A9" w:rsidP="003070A9">
            <w:pPr>
              <w:rPr>
                <w:b/>
                <w:sz w:val="22"/>
                <w:szCs w:val="22"/>
              </w:rPr>
            </w:pPr>
          </w:p>
          <w:p w14:paraId="0FFFA8FD" w14:textId="77777777" w:rsidR="003070A9" w:rsidRPr="003070A9" w:rsidRDefault="003070A9" w:rsidP="003070A9">
            <w:pPr>
              <w:rPr>
                <w:b/>
                <w:sz w:val="22"/>
                <w:szCs w:val="22"/>
              </w:rPr>
            </w:pPr>
            <w:r w:rsidRPr="003070A9">
              <w:rPr>
                <w:b/>
                <w:sz w:val="22"/>
                <w:szCs w:val="22"/>
              </w:rPr>
              <w:t xml:space="preserve">____________________/ О.А. </w:t>
            </w:r>
            <w:proofErr w:type="spellStart"/>
            <w:r w:rsidRPr="003070A9">
              <w:rPr>
                <w:b/>
                <w:sz w:val="22"/>
                <w:szCs w:val="22"/>
              </w:rPr>
              <w:t>Бутолин</w:t>
            </w:r>
            <w:proofErr w:type="spellEnd"/>
            <w:r w:rsidRPr="003070A9">
              <w:rPr>
                <w:b/>
                <w:sz w:val="22"/>
                <w:szCs w:val="22"/>
              </w:rPr>
              <w:t xml:space="preserve"> /</w:t>
            </w:r>
            <w:r w:rsidRPr="003070A9">
              <w:rPr>
                <w:b/>
                <w:sz w:val="22"/>
                <w:szCs w:val="22"/>
              </w:rPr>
              <w:tab/>
            </w:r>
          </w:p>
          <w:p w14:paraId="38B3FD0E" w14:textId="5E02B4F8" w:rsidR="00431441" w:rsidRPr="00FB54CF" w:rsidRDefault="003070A9" w:rsidP="003070A9">
            <w:pPr>
              <w:rPr>
                <w:b/>
                <w:sz w:val="22"/>
                <w:szCs w:val="22"/>
              </w:rPr>
            </w:pPr>
            <w:r w:rsidRPr="003070A9">
              <w:rPr>
                <w:b/>
                <w:sz w:val="22"/>
                <w:szCs w:val="22"/>
              </w:rPr>
              <w:t>М.П.</w:t>
            </w:r>
            <w:r w:rsidRPr="003070A9">
              <w:rPr>
                <w:b/>
                <w:sz w:val="22"/>
                <w:szCs w:val="22"/>
              </w:rPr>
              <w:tab/>
            </w:r>
          </w:p>
        </w:tc>
        <w:tc>
          <w:tcPr>
            <w:tcW w:w="3941" w:type="dxa"/>
            <w:hideMark/>
          </w:tcPr>
          <w:p w14:paraId="6BFFD1B2" w14:textId="77777777" w:rsidR="00431441" w:rsidRPr="00FB54CF" w:rsidRDefault="00431441" w:rsidP="00892298">
            <w:pPr>
              <w:rPr>
                <w:sz w:val="22"/>
                <w:szCs w:val="22"/>
              </w:rPr>
            </w:pPr>
          </w:p>
          <w:p w14:paraId="501C8676" w14:textId="77777777" w:rsidR="00431441" w:rsidRPr="00FB54CF" w:rsidRDefault="00431441" w:rsidP="00892298">
            <w:pPr>
              <w:rPr>
                <w:sz w:val="22"/>
                <w:szCs w:val="22"/>
              </w:rPr>
            </w:pPr>
          </w:p>
          <w:p w14:paraId="715F2CD0" w14:textId="77777777" w:rsidR="00431441" w:rsidRPr="00FB54CF" w:rsidRDefault="00431441" w:rsidP="00892298">
            <w:pPr>
              <w:rPr>
                <w:b/>
                <w:sz w:val="22"/>
                <w:szCs w:val="22"/>
              </w:rPr>
            </w:pPr>
            <w:r w:rsidRPr="00FB54CF">
              <w:rPr>
                <w:b/>
                <w:sz w:val="22"/>
                <w:szCs w:val="22"/>
              </w:rPr>
              <w:t>_________________/ФИО/</w:t>
            </w:r>
          </w:p>
          <w:p w14:paraId="6B47207F" w14:textId="77777777" w:rsidR="00431441" w:rsidRPr="00FB54CF" w:rsidRDefault="00431441" w:rsidP="00892298">
            <w:pPr>
              <w:rPr>
                <w:b/>
                <w:sz w:val="22"/>
                <w:szCs w:val="22"/>
              </w:rPr>
            </w:pPr>
            <w:r w:rsidRPr="00FB54CF">
              <w:rPr>
                <w:b/>
                <w:sz w:val="22"/>
                <w:szCs w:val="22"/>
              </w:rPr>
              <w:tab/>
            </w:r>
          </w:p>
        </w:tc>
      </w:tr>
    </w:tbl>
    <w:p w14:paraId="4FA21A30" w14:textId="77777777" w:rsidR="00FE65BF" w:rsidRPr="005E4675" w:rsidRDefault="00FE65BF" w:rsidP="00B71052">
      <w:pPr>
        <w:rPr>
          <w:bCs/>
          <w:iCs/>
        </w:rPr>
      </w:pPr>
    </w:p>
    <w:sectPr w:rsidR="00FE65BF" w:rsidRPr="005E4675" w:rsidSect="000449EE">
      <w:footerReference w:type="even" r:id="rId9"/>
      <w:footerReference w:type="default" r:id="rId10"/>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D400" w14:textId="7A67C42F"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3070A9">
      <w:rPr>
        <w:rStyle w:val="a5"/>
        <w:noProof/>
      </w:rPr>
      <w:t>6</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40366AB8"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proofErr w:type="spellStart"/>
    <w:r w:rsidR="003070A9">
      <w:rPr>
        <w:lang w:val="ru-RU"/>
      </w:rPr>
      <w:t>Бутолин</w:t>
    </w:r>
    <w:proofErr w:type="spellEnd"/>
    <w:r w:rsidR="003070A9">
      <w:rPr>
        <w:lang w:val="ru-RU"/>
      </w:rPr>
      <w:t xml:space="preserve"> О.А.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3070A9"/>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35E65"/>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8F12DF"/>
    <w:rsid w:val="009072DC"/>
    <w:rsid w:val="00927776"/>
    <w:rsid w:val="0093240B"/>
    <w:rsid w:val="00941691"/>
    <w:rsid w:val="00976FF0"/>
    <w:rsid w:val="009A578B"/>
    <w:rsid w:val="009C0D9F"/>
    <w:rsid w:val="00A301F1"/>
    <w:rsid w:val="00A4168F"/>
    <w:rsid w:val="00B0512C"/>
    <w:rsid w:val="00B20CBE"/>
    <w:rsid w:val="00B53826"/>
    <w:rsid w:val="00B71052"/>
    <w:rsid w:val="00B757AB"/>
    <w:rsid w:val="00B9731F"/>
    <w:rsid w:val="00BD2E42"/>
    <w:rsid w:val="00BF2CBF"/>
    <w:rsid w:val="00C13E17"/>
    <w:rsid w:val="00C30851"/>
    <w:rsid w:val="00C4595E"/>
    <w:rsid w:val="00CB1BBF"/>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B54CF"/>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FD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95E07-82DB-4898-B56C-10C3B5DF3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2649</Words>
  <Characters>15100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13</cp:revision>
  <dcterms:created xsi:type="dcterms:W3CDTF">2021-10-14T12:28:00Z</dcterms:created>
  <dcterms:modified xsi:type="dcterms:W3CDTF">2024-01-11T09:34:00Z</dcterms:modified>
</cp:coreProperties>
</file>