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«Росттехсервис» (ИНН 7609038170) в размере 626 235,50 руб., право требования к Ильиных Сергею Николаевичу (ИНН 760702078862) в размере 1 476 350,62 руб., право требования к Морозову Виктору Леонтьевичу (ИНН 760308641300) в размере 733 474,67 руб., право требования к Тамарову Виктору Владимировичу (ИНН 760400180179) в размере 1 612 561,22 руб., право требования к Гаджиеву Видади Ахад оглы (ИНН 761200178760) в размере 59 885,58 руб., право требования к Тороповой Любови Юрьевне (ИНН 761203832620) в размере 10 565,89 руб., право требования к Тараненко Марине Александровне (ИНН 762400292567) в размере 12 003,84 руб., право требования к Татариновой Наталье Александровне (ИНН 760900011210) в размере 76 501,98 руб., право требования к Администрация Инальцинского сельского поселения Борисоглебского муниципального района Ярославской области (ИНН 7614004602) в размере 4 258,00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4 611 837.30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А82-13911/2015.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ЯГК.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