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8464–ОАОФ/2/1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ЗАО "ОТЕЛЬ ДЕВЕЛОПМЕНТ";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«Стройреставрация» (ИНН 7718691413) в размере 32 400 000,00 руб., основного долга, а также всех штрафных санкций за неуплату указанного основного долга. Требование подтверждено Постановлением Девятого арбитражного апелляционного суда от 01.10.2019г. по делу №А40-310706/2018.
Решением Арбитражного суда г. Москвы от 30.03.2023 по делу №А40-10851/2020 в отношении ООО «Стройреставрация» открыто конкурсное производство. Размер передаваемого права требования может быть изменен до даты перехода прав требования к победителю торгов на сумму погашения ООО «Стройреставрация» задолженности перед Должником. В этом случае стоимость продажи права требования подлежит изменению пропорционально сумме погашения права требования..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А40-194357/2017 74-300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ЗАО "ОТЕЛЬ ДЕВЕЛОПМЕНТ".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июня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(Лымарь Петр Константинович)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Лымарь Пётр Константинович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