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F6C94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4F6C94">
        <w:rPr>
          <w:sz w:val="24"/>
          <w:szCs w:val="24"/>
        </w:rPr>
        <w:t>4</w:t>
      </w:r>
      <w:r w:rsidR="00A614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F6C94">
        <w:rPr>
          <w:sz w:val="24"/>
          <w:szCs w:val="24"/>
        </w:rPr>
        <w:t>4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F6C94">
        <w:rPr>
          <w:sz w:val="24"/>
          <w:szCs w:val="24"/>
        </w:rPr>
        <w:t>4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413331">
        <w:rPr>
          <w:sz w:val="24"/>
          <w:szCs w:val="24"/>
        </w:rPr>
        <w:t>3</w:t>
      </w:r>
      <w:r w:rsidRPr="00C3278A">
        <w:rPr>
          <w:sz w:val="24"/>
          <w:szCs w:val="24"/>
        </w:rPr>
        <w:t xml:space="preserve"> торгов - </w:t>
      </w:r>
      <w:r w:rsidR="00413331" w:rsidRPr="00413331">
        <w:rPr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</w:t>
      </w:r>
      <w:r w:rsidR="0035687B">
        <w:rPr>
          <w:color w:val="000000"/>
          <w:spacing w:val="8"/>
          <w:sz w:val="24"/>
          <w:szCs w:val="24"/>
        </w:rPr>
        <w:t>редств в сумме, указанной в п. 3.3</w:t>
      </w:r>
      <w:r>
        <w:rPr>
          <w:color w:val="000000"/>
          <w:spacing w:val="8"/>
          <w:sz w:val="24"/>
          <w:szCs w:val="24"/>
        </w:rPr>
        <w:t xml:space="preserve">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A6140B" w:rsidRPr="00A6140B">
        <w:rPr>
          <w:bCs/>
          <w:sz w:val="24"/>
          <w:szCs w:val="24"/>
        </w:rPr>
        <w:t>……………..</w:t>
      </w:r>
      <w:r w:rsidR="000C7678" w:rsidRPr="000C7678">
        <w:rPr>
          <w:b/>
          <w:bCs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 w:rsidR="0035687B">
        <w:rPr>
          <w:color w:val="000000"/>
          <w:spacing w:val="4"/>
          <w:sz w:val="24"/>
          <w:szCs w:val="24"/>
        </w:rPr>
        <w:t xml:space="preserve"> полной оплаты, указанной в п. 3</w:t>
      </w:r>
      <w:bookmarkStart w:id="0" w:name="_GoBack"/>
      <w:bookmarkEnd w:id="0"/>
      <w:r>
        <w:rPr>
          <w:color w:val="000000"/>
          <w:spacing w:val="4"/>
          <w:sz w:val="24"/>
          <w:szCs w:val="24"/>
        </w:rPr>
        <w:t xml:space="preserve">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C7678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5687B"/>
    <w:rsid w:val="00387100"/>
    <w:rsid w:val="003C1F20"/>
    <w:rsid w:val="003E5259"/>
    <w:rsid w:val="00413331"/>
    <w:rsid w:val="00415F08"/>
    <w:rsid w:val="00471452"/>
    <w:rsid w:val="004A1AA8"/>
    <w:rsid w:val="004A3B2A"/>
    <w:rsid w:val="004C557D"/>
    <w:rsid w:val="004D34C1"/>
    <w:rsid w:val="004F6C94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6140B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6</cp:revision>
  <cp:lastPrinted>2019-12-23T11:54:00Z</cp:lastPrinted>
  <dcterms:created xsi:type="dcterms:W3CDTF">2022-11-11T10:53:00Z</dcterms:created>
  <dcterms:modified xsi:type="dcterms:W3CDTF">2024-05-11T10:50:00Z</dcterms:modified>
</cp:coreProperties>
</file>