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8045–ОАЗФ/2/1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«Диджитал Инвест»;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Шишханову Микаилу Османовичу в порядке субсидиарной ответственности в пользу Должника в размере 82 057 193 171,23 руб.В случае осуществления контрагентом, права требования к которому выставляются на торги, расчетов с Должником и/или признания права требования необоснованными в судебном порядке до проведения торгов, а также в ходе проведения торгов, в том числе в ходе продажи посредством публичного предложения, цена продажи права требования уменьшается пропорционально отношению суммы задолженности контрагента перед Должником к сумме перечисленных контрагентов Должнику денежных средств и/или сумме, признанной необоснованной в судебном порядке. Первоначальная цена подлежит уменьшению без согласования данных изменений с собранием кредиторов..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73 851 473 854.11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А40-277671/2019 123-338Б.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«Диджитал Инвест».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«05» февраля 2024г. 16:00:00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марта 2024г. 16:00:00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марта 2024г. 16:00:00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