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8045–ОАЗФ/1/1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«Диджитал Инвест»;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Шишханову Микаилу Османовичу в порядке субсидиарной ответственности в пользу Должника в размере 82 057 193 171,23 руб.В случае осуществления контрагентом, права требования к которому выставляются на торги, расчетов с Должником и/или признания права требования необоснованными в судебном порядке до проведения торгов, а также в ходе проведения торгов, в том числе в ходе продажи посредством публичного предложения, цена продажи права требования уменьшается пропорционально отношению суммы задолженности контрагента перед Должником к сумме перечисленных контрагентов Должнику денежных средств и/или сумме, признанной необоснованной в судебном порядке. Первоначальная цена подлежит уменьшению без согласования данных изменений с собранием кредиторов..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73 851 473 854.11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А40-277671/2019 123-338Б.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«Диджитал Инвест».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16:00:00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16:00:00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