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8035–ОТПП/1/16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"СУ МВО";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Движимое имущество (офисная техника, машины и оборудование, мебель, производственный и хозяйственный инвентарь), остатки ТМЦ (строительные материалы), лом черных металлов (в следствии демонтажа сооружений), расположенные по адресам:
- Московская область, г. Наро-Фоминск, Кубинское шоссе, д. 5А;
- Воронежская Область, г. Воронеж, ул. Матросова, д. 66 (лот № 16).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1 495 387.80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А40-49288/2009.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"СУ МВО".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"Астра-Недвижимость".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09.02.2024 10:00:00 ⇆ 09.02.2024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15:54:15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15:54:15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"Астра-Недвижимость")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Степанов Михаил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