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8561E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</w:t>
      </w:r>
      <w:proofErr w:type="spellStart"/>
      <w:r w:rsidRPr="00FB79E5">
        <w:t>Росскат</w:t>
      </w:r>
      <w:proofErr w:type="spellEnd"/>
      <w:r w:rsidRPr="00FB79E5">
        <w:t>-Центр»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FB79E5">
        <w:t>Шупы</w:t>
      </w:r>
      <w:proofErr w:type="spellEnd"/>
      <w:r w:rsidRPr="00FB79E5">
        <w:t xml:space="preserve">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:rsidTr="00185547">
        <w:tc>
          <w:tcPr>
            <w:tcW w:w="4928" w:type="dxa"/>
          </w:tcPr>
          <w:p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</w:tc>
        <w:tc>
          <w:tcPr>
            <w:tcW w:w="5095" w:type="dxa"/>
          </w:tcPr>
          <w:p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:rsidTr="00185547">
        <w:trPr>
          <w:trHeight w:val="2870"/>
        </w:trPr>
        <w:tc>
          <w:tcPr>
            <w:tcW w:w="4928" w:type="dxa"/>
          </w:tcPr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123104, г. Москва, Тверской бульвар, д. 13, стр. 1, </w:t>
            </w:r>
            <w:proofErr w:type="spellStart"/>
            <w:r w:rsidRPr="00C63B55">
              <w:t>каб</w:t>
            </w:r>
            <w:proofErr w:type="spellEnd"/>
            <w:r w:rsidRPr="00C63B55">
              <w:t>. II-15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р/с №40702810501400005558</w:t>
            </w:r>
          </w:p>
          <w:p w:rsidR="00FB79E5" w:rsidRDefault="00641041" w:rsidP="00185547">
            <w:pPr>
              <w:tabs>
                <w:tab w:val="left" w:pos="1022"/>
              </w:tabs>
            </w:pPr>
            <w:r w:rsidRPr="00641041">
              <w:t>ПАО БАНК «ФК ОТКРЫТИЕ», БИК 042282881, к/с 30101810300000000881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_________________/ Шупа Т.О./</w:t>
            </w:r>
          </w:p>
          <w:p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8561E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06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681B-2E9B-4FE5-9A4D-916B39F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2024-02-08T08:17:00Z</dcterms:modified>
</cp:coreProperties>
</file>