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7875–ОТПП/1/3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Право требования к (1) ОАО «Орелстройтех» (ИНН 5705003306) на сумму 28 300 000,00 руб.; (2) ООО «Гордарика-Инвест» (ИНН 7720270148) на сумму 32 000 000,00 руб.
Состав и цена лота может изменяться в случае добровольного погашения дебиторской задолженности дебиторами Должника и/или принудительного взыскания дебиторской задолженности по исполнительным листам. В указанном случае торги не подлежат отмене или приостановке, а стоимость дебиторской задолженности (прав требований) подлежит пропорциональному погашению (уменьшению) в стоимости имущества, что указывается в Договоре уступки прав требования, а также в сообщение о результатах проведения торгов. (п. 1 ст. 381, ст.390 ГК РФ, п. 1 ст. 416 ГК РФ).
Право требования к ООО «Гордарика-Инвест» подтверждено Решением АС г. Москвы по делу № А40-188250/2023 от 13.10.2023 г. (обжалуется в суде апелляционной инстанции)..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06.01.2024 13:00:00 ⇆ 08.01.2024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12:59:11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12:59:26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ИНН:081409940824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12:59:26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ИНН:081409940824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12:59:11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