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7411–ОТПП/2/44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44</w:t>
      </w:r>
      <w:r>
        <w:rPr>
          <w:rFonts w:eastAsia="Times New Roman"/>
        </w:rPr>
        <w:t>: Права требования к Скворцову Александру Михайловичу в размере 439 530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105 147.00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А40-294073/2019 59-345Б.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"СПЕЦРЕМОНТ".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24.10.2023 11:00:00 ⇆ 01.11.2023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7411–ОТПП/1/44</w:t>
      </w:r>
      <w:r>
        <w:t xml:space="preserve"> от </w:t>
      </w:r>
      <w:r>
        <w:rPr>
          <w:u w:val="single"/>
        </w:rPr>
        <w:t>«1»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Коновалова Светлана Алексеевна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(ОГРНИП:320774600394552)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12:55:20;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Коновалова Светлана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36 802.99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24.10.2023 11:00:00 ⇆ 01.11.2023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25.10.2023 12:55:20.329989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Коновалова Светлана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107497, г. Москва, ул. Байкальская, дом 48, корп. 2, кв. 131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36 802.99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заключить с конкурсным управляющим договор купли-продажи в сроки, определенные Законом о банкротстве. 
Конкурсный управляющий вправе отказаться от проведения торгов в любое время, но не позднее, чем за 3 дня до даты проведения торгов.
Размер дебиторской задолженности в составе лотов не является фиксированным и определяется на дату заключения договора купли-продажи (уступки прав) с учетом возможного погашения дебиторами задолженности к моменту заключения договора. В случае если до момента заключения договора права требования будут частично прекращены в соответствии с действующим законодательством (в том числе обязательства будут исполнены перед АО «Спецремонт») стоимость прав требования, определенная на торгах, будет уменьшена пропорционально размеру прекращенных прав требования. В случае ликвидации дочерних обществ торги по соответствующему лоту отменяются.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уплатить в течение 30 дней с даты заключения договора купли-продажи, определенную на торгах стоимость, за вычетом внесенного ранее задатка, по следующим реквизитам АО «Спецремонт»: р/с 40502810600770000008 в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