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</w:t>
      </w:r>
    </w:p>
    <w:p w14:paraId="00000002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УТВЕРЖДЕНО:</w:t>
      </w:r>
    </w:p>
    <w:p w14:paraId="00000003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Общество с ограниченной ответственностью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Микрофинансовая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компания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КарМани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     </w:t>
      </w:r>
    </w:p>
    <w:p w14:paraId="00000004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Канюкова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Е.А</w:t>
      </w:r>
    </w:p>
    <w:p w14:paraId="00000005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6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7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8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2023  года</w:t>
      </w:r>
    </w:p>
    <w:p w14:paraId="00000009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A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B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C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 о порядке, об условиях и о сроках реализации имущества гражданина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highlight w:val="white"/>
        </w:rPr>
        <w:t xml:space="preserve"> </w:t>
      </w:r>
    </w:p>
    <w:p w14:paraId="0000000D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9"/>
          <w:szCs w:val="39"/>
          <w:highlight w:val="whit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  <w:t>ЛИТВИНОВА ЮЛИЯ АЛЕКСАНДРОВНА</w:t>
      </w:r>
    </w:p>
    <w:p w14:paraId="0000000E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положения.</w:t>
      </w:r>
    </w:p>
    <w:p w14:paraId="0000000F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Решением от «11» января 2023 года по делу № А41-73670/22 признал заявление должника Литвинова Юлия Александровна (06.05.1981 года рождения, место рождения: гор.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Кимовск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Тульской области, место регистрации: Московская обл., г. Фрязино, ул. Нахимова, д.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 кв. 105, ИНН 505202193767, СНИЛС 056-651-064 62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ввел процедуру реализации имущества. </w:t>
      </w:r>
    </w:p>
    <w:p w14:paraId="00000010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Финансовым управляющим утвердили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Моторину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Екатерину  Витальевну.</w:t>
      </w:r>
    </w:p>
    <w:p w14:paraId="0000001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порядке, сроках и условиях продажи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Литвинова Юлия Александровна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разработано  в соответствии с требованиями Федерального закона «О несостоятельности (банкротстве)» от 26.10.2002 г. №127-ФЗ, ст. 447-449 Гражданского кодекса Российской Федерации, Приказа Минэкономразвития РФ от 23.07.2015 № 495 «Об утверждении порядка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 применяемых в деле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банкротстве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внесении изменений в Приказ Минэкономразвития России от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5.04.2013 г. № 178 и признании утратившими силу некоторых приказов Минэкономразвития России».</w:t>
      </w:r>
    </w:p>
    <w:p w14:paraId="00000012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ст. 213.26 ФЗ «О несостоятельности (банкротстве)» финансовым управляющим проведена инвентаризация и оценка имущества должника.</w:t>
      </w:r>
    </w:p>
    <w:p w14:paraId="00000013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ящее Положение содержит сведения о начальной продажной цене предмета залога, а также порядок и условия проведения торгов по реализации имущества Должника в соответствии со ст. 213.25, 213.26 Закона о банкротстве.</w:t>
      </w:r>
    </w:p>
    <w:p w14:paraId="00000014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2. Общие условия продажи имущества </w:t>
      </w:r>
    </w:p>
    <w:p w14:paraId="00000016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7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родажа имущества должника, осуществляется путем торгов - открытый аукцион с открытой формой подачи предложения.</w:t>
      </w:r>
    </w:p>
    <w:p w14:paraId="00000019" w14:textId="7CDDA6E7" w:rsidR="00E35703" w:rsidRDefault="006B049A" w:rsidP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2.2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торги по продаже имущества Должника проводятся на </w:t>
      </w:r>
      <w:r w:rsidRPr="006B049A">
        <w:rPr>
          <w:rFonts w:ascii="Times New Roman" w:eastAsia="Arial" w:hAnsi="Times New Roman" w:cs="Times New Roman"/>
          <w:color w:val="222222"/>
        </w:rPr>
        <w:t xml:space="preserve">ООО «ВЭТП», адрес в сети интернет https://банкрот.вэтп.рф, </w:t>
      </w:r>
      <w:r w:rsidRPr="006B049A">
        <w:rPr>
          <w:rFonts w:ascii="Times New Roman" w:eastAsia="Arial" w:hAnsi="Times New Roman" w:cs="Times New Roman"/>
          <w:color w:val="222222"/>
        </w:rPr>
        <w:t xml:space="preserve">390006, Рязанская область, </w:t>
      </w:r>
      <w:proofErr w:type="spellStart"/>
      <w:r w:rsidRPr="006B049A">
        <w:rPr>
          <w:rFonts w:ascii="Times New Roman" w:eastAsia="Arial" w:hAnsi="Times New Roman" w:cs="Times New Roman"/>
          <w:color w:val="222222"/>
        </w:rPr>
        <w:t>г</w:t>
      </w:r>
      <w:proofErr w:type="gramStart"/>
      <w:r w:rsidRPr="006B049A">
        <w:rPr>
          <w:rFonts w:ascii="Times New Roman" w:eastAsia="Arial" w:hAnsi="Times New Roman" w:cs="Times New Roman"/>
          <w:color w:val="222222"/>
        </w:rPr>
        <w:t>.Р</w:t>
      </w:r>
      <w:proofErr w:type="gramEnd"/>
      <w:r w:rsidRPr="006B049A">
        <w:rPr>
          <w:rFonts w:ascii="Times New Roman" w:eastAsia="Arial" w:hAnsi="Times New Roman" w:cs="Times New Roman"/>
          <w:color w:val="222222"/>
        </w:rPr>
        <w:t>язань</w:t>
      </w:r>
      <w:proofErr w:type="spellEnd"/>
      <w:r w:rsidRPr="006B049A">
        <w:rPr>
          <w:rFonts w:ascii="Times New Roman" w:eastAsia="Arial" w:hAnsi="Times New Roman" w:cs="Times New Roman"/>
          <w:color w:val="222222"/>
        </w:rPr>
        <w:t xml:space="preserve">, </w:t>
      </w:r>
      <w:proofErr w:type="spellStart"/>
      <w:r w:rsidRPr="006B049A">
        <w:rPr>
          <w:rFonts w:ascii="Times New Roman" w:eastAsia="Arial" w:hAnsi="Times New Roman" w:cs="Times New Roman"/>
          <w:color w:val="222222"/>
        </w:rPr>
        <w:t>ул.Есенина</w:t>
      </w:r>
      <w:proofErr w:type="spellEnd"/>
      <w:r w:rsidRPr="006B049A">
        <w:rPr>
          <w:rFonts w:ascii="Times New Roman" w:eastAsia="Arial" w:hAnsi="Times New Roman" w:cs="Times New Roman"/>
          <w:color w:val="222222"/>
        </w:rPr>
        <w:t xml:space="preserve">, д.2А. </w:t>
      </w:r>
      <w:proofErr w:type="spellStart"/>
      <w:r w:rsidRPr="006B049A">
        <w:rPr>
          <w:rFonts w:ascii="Times New Roman" w:eastAsia="Arial" w:hAnsi="Times New Roman" w:cs="Times New Roman"/>
          <w:color w:val="222222"/>
        </w:rPr>
        <w:t>помещ</w:t>
      </w:r>
      <w:proofErr w:type="spellEnd"/>
      <w:r w:rsidRPr="006B049A">
        <w:rPr>
          <w:rFonts w:ascii="Times New Roman" w:eastAsia="Arial" w:hAnsi="Times New Roman" w:cs="Times New Roman"/>
          <w:color w:val="222222"/>
        </w:rPr>
        <w:t>. Н</w:t>
      </w:r>
      <w:proofErr w:type="gramStart"/>
      <w:r w:rsidRPr="006B049A">
        <w:rPr>
          <w:rFonts w:ascii="Times New Roman" w:eastAsia="Arial" w:hAnsi="Times New Roman" w:cs="Times New Roman"/>
          <w:color w:val="222222"/>
        </w:rPr>
        <w:t>4</w:t>
      </w:r>
      <w:proofErr w:type="gramEnd"/>
      <w:r>
        <w:rPr>
          <w:rFonts w:ascii="Times New Roman" w:eastAsia="Arial" w:hAnsi="Times New Roman" w:cs="Times New Roman"/>
          <w:color w:val="222222"/>
        </w:rPr>
        <w:t>.</w:t>
      </w:r>
    </w:p>
    <w:p w14:paraId="0000001A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Организатором торгов выступает: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Моторина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Екатерина   Витальевна </w:t>
      </w:r>
    </w:p>
    <w:p w14:paraId="0000001B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rg0k4587845" w:colFirst="0" w:colLast="0"/>
      <w:bookmarkEnd w:id="1"/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highlight w:val="white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 Предметом торгов является следующее имущество: </w:t>
      </w:r>
    </w:p>
    <w:p w14:paraId="0000001E" w14:textId="77777777" w:rsidR="00E35703" w:rsidRPr="006B049A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  <w:lang w:val="en-US"/>
        </w:rPr>
      </w:pPr>
      <w:r w:rsidRPr="006B0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Автомобиль</w:t>
      </w:r>
      <w:r w:rsidRPr="006B049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арки</w:t>
      </w:r>
      <w:r w:rsidRPr="006B049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/>
        </w:rPr>
        <w:t xml:space="preserve">:   </w:t>
      </w:r>
      <w:r w:rsidRPr="006B049A"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  <w:lang w:val="en-US"/>
        </w:rPr>
        <w:t xml:space="preserve">KIA PICANTO </w:t>
      </w:r>
      <w:proofErr w:type="gramStart"/>
      <w:r w:rsidRPr="006B049A"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  <w:lang w:val="en-US"/>
        </w:rPr>
        <w:t xml:space="preserve">TA </w:t>
      </w:r>
      <w:r w:rsidRPr="006B049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highlight w:val="white"/>
          <w:lang w:val="en-US"/>
        </w:rPr>
        <w:t xml:space="preserve"> ,</w:t>
      </w:r>
      <w:proofErr w:type="gramEnd"/>
      <w:r w:rsidRPr="006B049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highlight w:val="white"/>
          <w:lang w:val="en-US"/>
        </w:rPr>
        <w:t xml:space="preserve"> 20</w:t>
      </w:r>
      <w:r w:rsidRPr="006B049A"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  <w:lang w:val="en-US"/>
        </w:rPr>
        <w:t>15</w:t>
      </w:r>
      <w:r w:rsidRPr="006B049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highlight w:val="white"/>
          <w:lang w:val="en-US"/>
        </w:rPr>
        <w:t xml:space="preserve"> , VIN: </w:t>
      </w:r>
      <w:r w:rsidRPr="006B049A"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  <w:lang w:val="en-US"/>
        </w:rPr>
        <w:t xml:space="preserve"> KNABX512BGT019949</w:t>
      </w:r>
    </w:p>
    <w:p w14:paraId="0000001F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</w:rPr>
      </w:pPr>
      <w:r w:rsidRPr="006B049A"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(далее – «имущество»),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находящийся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в залоге у ООО МФК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КарМани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».     </w:t>
      </w:r>
    </w:p>
    <w:p w14:paraId="00000020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highlight w:val="white"/>
        </w:rPr>
      </w:pPr>
    </w:p>
    <w:p w14:paraId="0000002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2.5. Начальная цена предмета реализации Лота составляет  </w:t>
      </w:r>
      <w:r>
        <w:rPr>
          <w:b/>
          <w:sz w:val="26"/>
          <w:szCs w:val="26"/>
        </w:rPr>
        <w:t xml:space="preserve">943 000    </w:t>
      </w:r>
      <w:r>
        <w:rPr>
          <w:b/>
          <w:color w:val="000000"/>
          <w:sz w:val="26"/>
          <w:szCs w:val="26"/>
        </w:rPr>
        <w:t xml:space="preserve">рублей </w:t>
      </w:r>
    </w:p>
    <w:p w14:paraId="00000022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23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24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  Продажа имущества</w:t>
      </w:r>
    </w:p>
    <w:p w14:paraId="00000025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Размер задатка для участия в торгах/повторных торгах/продаже посредством публичного предложения составляет 10 % (десять) процентов от начальной цены лота на торгах (на первых и повторных торгах), и 10% от цены лота, установленной для конкретного периода пу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бличного предложения. Задаток вносится на счет, указанный Организатором торгов в публикации. Заявитель вправе направлять задаток на счет, указанный Организатором торгов в публикации без предоставления подписанного договора о задатке. В этом случае перечисл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ение задатка Заявителем считается акцептом размещенного на электронной площадке договора о задатке. Подтверждением поступления задатка на счет Организатора торгов является факт блокирования денежных средств на счете Участника на электронной площадке.</w:t>
      </w:r>
    </w:p>
    <w:p w14:paraId="00000027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3.2. Сообщение о проведении торгов (далее по тексту - Сообщение) должно быть опубликовано организатором торгов на ЕФРСБ,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чем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за тридцать дней до даты проведения торгов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Указанный срок исчисляется со дня, следующего за днем публикации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Сообщения.</w:t>
      </w:r>
    </w:p>
    <w:p w14:paraId="00000028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Срок приема заявок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менее 25 рабочих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 </w:t>
      </w:r>
    </w:p>
    <w:p w14:paraId="00000029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Заявка на участие в торгах составляется на русском языке и должна содержать следующие сведения:</w:t>
      </w:r>
    </w:p>
    <w:p w14:paraId="0000002A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Заявителя – юридического лица: наименование, организационно-правовая форма, место нахо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ждения, почтовый адрес, номер контактного телефона, адрес электронной почты;</w:t>
      </w:r>
    </w:p>
    <w:p w14:paraId="0000002B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Заявителя – физического лица: фамилия, имя, отчество, паспортные данные, сведения о месте жительства, номер контактного телефона, адрес электронной почты;</w:t>
      </w:r>
    </w:p>
    <w:p w14:paraId="0000002C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сведения о 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ичии или об отсутствии заинтересованности Заявителя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отношению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 xml:space="preserve">к должнику,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кредиторам, Арбитражному управляющему и о характере этой заинтересованности, об участии в капитале Заявителя Арбитражного управляющего, а также иные сведения о заинтересованности по отношению к Должнику, кредиторам, Арбитражному управляющему, предусмотренн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статьей 19 Закона о банкротстве. </w:t>
      </w:r>
    </w:p>
    <w:p w14:paraId="0000002D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К Заявке должны быть приложены следующие документы:</w:t>
      </w:r>
    </w:p>
    <w:p w14:paraId="0000002E" w14:textId="77777777" w:rsidR="00E35703" w:rsidRDefault="006B049A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физическо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тствующего государства (для иностранного лица);</w:t>
      </w:r>
      <w:proofErr w:type="gramEnd"/>
    </w:p>
    <w:p w14:paraId="0000002F" w14:textId="77777777" w:rsidR="00E35703" w:rsidRDefault="006B049A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подтверждающие полномочия лица на осуществление действий от имени заявителя;</w:t>
      </w:r>
    </w:p>
    <w:p w14:paraId="00000030" w14:textId="77777777" w:rsidR="00E35703" w:rsidRDefault="006B049A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heading=h.3znysh7" w:colFirst="0" w:colLast="0"/>
      <w:bookmarkEnd w:id="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доказательство внесения задатка.</w:t>
      </w:r>
    </w:p>
    <w:p w14:paraId="0000003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 Документы, прилагаемые к направляемой Оператору Заявке, представляются в форме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ктронных документов, подписанных электронной цифровой подписью Заявителя.</w:t>
      </w:r>
    </w:p>
    <w:p w14:paraId="00000032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 По результатам рассмотрения не более чем в течение пяти рабочих дней всех поступивших Заявок и прилагаемых к ним документов, а также установления факта поступления от Заявителей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задатков, Организатор торгов принимает решение о признании Заявителей Участниками торгов (далее - Участник) или об отказе в допуске Заявителей к участию в торгах.</w:t>
      </w:r>
    </w:p>
    <w:p w14:paraId="00000033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 К участию в торгах допускаются Заявители, представившие Заявки и прилагаемые к ним доку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менты, которые соответствуют требованиям, установленным Законом о банкротстве и указанным в Сообщении о торгах, а также обеспечившие поступление задатка на счет.</w:t>
      </w:r>
    </w:p>
    <w:p w14:paraId="00000034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Заявители, допущенные к торгам, признаются Участниками торгов.</w:t>
      </w:r>
    </w:p>
    <w:p w14:paraId="00000035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Решение об отказе в допуске Зая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вителя к участию в торгах принимается в случае, если:</w:t>
      </w:r>
    </w:p>
    <w:p w14:paraId="00000036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заявка не соответствует требованиям, установленным Законом о банкротстве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торгах;</w:t>
      </w:r>
    </w:p>
    <w:p w14:paraId="00000037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представленные Заявителем документы не соответствуют установленным к ним требованиям или сведения,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ержащиеся в них, недостоверны;</w:t>
      </w:r>
    </w:p>
    <w:p w14:paraId="00000038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поступление задатка на счет, указанный Организатором торгов в публикации, не подтверждено на дату составления Протокола об Участниках.</w:t>
      </w:r>
    </w:p>
    <w:p w14:paraId="00000039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  Решение Организатора торгов о признании Заявителей Участниками или об отказе в доп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уске Заявителей к участию в торгах оформляется протоколом об определении Участников торгов (далее - Протокол об Участниках) по каждому выставленному на торги лоту.</w:t>
      </w:r>
    </w:p>
    <w:p w14:paraId="0000003A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 Оператор электронной площадки проводит открытые торги, в ходе которых предложения о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электронной площадке участниками торгов открыто в ходе проведения торгов.</w:t>
      </w:r>
    </w:p>
    <w:p w14:paraId="0000003B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проводятся путем повышения начальной цены продажи на величину, кратную величине «шага аукциона».</w:t>
      </w:r>
    </w:p>
    <w:p w14:paraId="0000003C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«Шаг аукциона» - величина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 начальной цены продажи иму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щества/лота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Шаг аукциона составляет 5 (Пять) процентов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начальной цены продажи имущества/лота. Шаг аукциона не изменяется в течение проведения торгов.</w:t>
      </w:r>
    </w:p>
    <w:p w14:paraId="0000003D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 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Минэкономразвития России от 23.07.2015 № 495.</w:t>
      </w:r>
    </w:p>
    <w:p w14:paraId="0000003E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 Организатор торгов рассматривает предложения участников торгов о цене имущества должника и определяет победителя открытых торгов. </w:t>
      </w:r>
    </w:p>
    <w:p w14:paraId="0000003F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3.13. Победителем открытых торгов признается участник торгов, предложив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ший наиболее высокую цену.</w:t>
      </w:r>
    </w:p>
    <w:p w14:paraId="00000040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3.14.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 и направляет его в форме электронного документа организатору торгов для утверждения.</w:t>
      </w:r>
    </w:p>
    <w:p w14:paraId="0000004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3.15.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Организатор торгов в течение одного рабочего дня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момента получения протокола о результатах проведения открытых торгов утверждает такой протокол и направляет 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14:paraId="00000042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о результатах проведения торгов должен содержать:</w:t>
      </w:r>
    </w:p>
    <w:p w14:paraId="00000043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наименование и место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ахождения (для юридического лица), фамилия, имя, отчество и место жительства (для физического лица) каждого участника торгов;</w:t>
      </w:r>
    </w:p>
    <w:p w14:paraId="00000044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результаты рассмотрения предложений о цене имущества/лота, представленных участниками торгов;</w:t>
      </w:r>
    </w:p>
    <w:p w14:paraId="00000045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наименование и место нахождения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 w14:paraId="00000046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наименование и место нахождения (для юридического лица), фамилия,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отчество и место жительства (для физического лица) победителя торгов.</w:t>
      </w:r>
    </w:p>
    <w:p w14:paraId="00000047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3.16. Протокол о результатах проведения торгов размещается оператором электронной площадки на электронной площадке, а также в Едином федеральном реестре сведений о банкротстве в течен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15 дней после поступления данного протокола от организатора торгов.</w:t>
      </w:r>
    </w:p>
    <w:p w14:paraId="00000048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электронного документа всем участникам открытых торгов.</w:t>
      </w:r>
    </w:p>
    <w:p w14:paraId="00000049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Суммы внесенных участниками задатков возвращаются всем участникам, за исключением победителя торгов, в течение пяти рабочих дней со дня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подписания протокола о результатах проведения торгов. Вне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сенный победителем торгов задаток засчитывается в оплату приобретенного с торгов имущества.</w:t>
      </w:r>
    </w:p>
    <w:p w14:paraId="0000004A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торгов принимает решение о признании торгов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несостоявшимися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если:</w:t>
      </w:r>
    </w:p>
    <w:p w14:paraId="0000004B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не было предоставлено ни одной Заявки;</w:t>
      </w:r>
    </w:p>
    <w:p w14:paraId="0000004C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 участию в торгах был допущен один 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тник;</w:t>
      </w:r>
    </w:p>
    <w:p w14:paraId="0000004D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E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к участию в торгах был допущен только один Участник, Заявка которого соответствует условиям торгов и содержит предложение о цене имущества не ниже установленной Начальной цены продажи, Финансовый управляющий заключает договор купли-продажи имущ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 с этим единственным Участником (далее - единственный Участник) в соответствии с условиями торгов и по цене, предложенной Участником.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неоплаты стоимости автомобиля единственным участником, допущенным к участию в торгах, в сроки, установленные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Договором купли-продажи автомобиля, такой договор считается незаключенным,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задаток, зачисленный на счет Организатора торгов для участия в торгах возврату не подлежит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F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3.18.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Сообщение об итогах торгов должно быть опубликовано на ЕФРСБ, в течение 15 рабоч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их дней со дня утверждения соответствующего протокола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50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торги признаны состоявшимися, в сообщении должны быть указаны сведения о Победителе (фирменное наименование - для юридических лиц; фамилия, имя, отчество - для физических лиц), в том числе о налич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или об отсутствии заинтересованности Победителя по отношению к должнику, кредиторам, Финансовому управляющему и о характере такой заинтересованности, о предложенной Победителем цене.</w:t>
      </w:r>
    </w:p>
    <w:p w14:paraId="0000005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течение пяти рабочих дней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Предложение о заключе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договора и проект договора купли-продажи может быть направлено победителю торгов в электронном виде. При уклонении или отказе Победителя от заключения договора купли-продажи имущества в пятидневный срок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предложения 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сенный задаток ему не возвращается, и Финансовый управляющий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ючением Победителя. В случае если цена имущества, предложенная другими Участниками, одинакова, предложение заключить договор купли-продажи имущества направляется Участнику, первому подавшему соответствующее предложение по цене.</w:t>
      </w:r>
    </w:p>
    <w:p w14:paraId="00000052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3.20. Обязательными условиям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договора купли-продажи автомобиля являются:</w:t>
      </w:r>
    </w:p>
    <w:p w14:paraId="00000053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сведения об имуществе, его составе, характеристиках; </w:t>
      </w:r>
    </w:p>
    <w:p w14:paraId="00000054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цена продажи имущества;</w:t>
      </w:r>
    </w:p>
    <w:p w14:paraId="00000055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сведения о наличии или отсутствии обременения в отношении имущества;</w:t>
      </w:r>
    </w:p>
    <w:p w14:paraId="00000056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условие о передаче имущества в течение 15 рабочих дней со дня полной оплаты по договору в случае реализации.</w:t>
      </w:r>
    </w:p>
    <w:p w14:paraId="00000057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условие об оплате имущества в течение тридцати дней со дня подписания этого договора путем перечисления денежных средств на указанный в догов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оре специальный счет должника.</w:t>
      </w:r>
    </w:p>
    <w:p w14:paraId="00000058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 на специальный счет должника.</w:t>
      </w:r>
    </w:p>
    <w:p w14:paraId="00000059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3.22. Передача имущества финансо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 управляющим и принятие его Покупателем осуществляются по передаточному акту, подписываемому сторонами.</w:t>
      </w:r>
    </w:p>
    <w:p w14:paraId="0000005A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случае признания торгов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несостоявшимися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незаключения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купли-продажи с единственным участником торгов, а также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незаключения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купли-продажи по результатам торгов Организатор торгов принимает решение о проведении повторных торгов и об установлении начальной цены продажи имущества.</w:t>
      </w:r>
    </w:p>
    <w:p w14:paraId="0000005B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Начальная цена продажи имущества при проведении повторных торгов устанавливается на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(Десять)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 начальной цены реализации на первых торгах.</w:t>
      </w:r>
    </w:p>
    <w:p w14:paraId="0000005C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3.25. Повторные торги организуются и проводятся в порядке и на условиях, определенных настоящими Предложениями для организации и проведения торгов.</w:t>
      </w:r>
    </w:p>
    <w:p w14:paraId="0000005D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3.26. В случае признания несостоявшимися повто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торгов конкурсный кредитор по обязательствам, обеспеченным залогом имущества должника, вправе оставить предмет залога за собой с оценкой его в сумме на десять процентов ниже начальной продажной цены на повторных торгах.</w:t>
      </w:r>
    </w:p>
    <w:p w14:paraId="0000005E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кредитор по обязател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ьствам, обеспеченным залогом имущества должника, при оставлении предмета залога за собой обязан перечислить денежные средства в размере, определяемом в соответствии с пунктами 1 и 2 ст. 138 ФЗ «О несостоятельности (банкротстве)», на специальный банковский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 в порядке, установленном пунктом 3 ст. 138 ФЗ «О несостоятельности (банкротстве)», в течение десяти дней с даты направления финансовому управляющему заявления об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 залога за собой.</w:t>
      </w:r>
    </w:p>
    <w:p w14:paraId="0000005F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течение тридцати дней со дня признания повтор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торгов несостоявшимися кредитор по обязательствам, обеспеченным залогом имущества должника, не воспользуется правом оставить предмет залога за собой, он подлежит продаже посредством публичного предложения в порядке, установленном пунктом 4 статьи 139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астоящего Федерального закона. </w:t>
      </w:r>
    </w:p>
    <w:p w14:paraId="00000060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(ДОПОЛНИТЕЛЬНО) Конкурсный кредитор по обязательствам, обеспеченным залогом имущества должника, вправе оставить предмет залога за собой в ходе торгов по продаже имущества должника посредством публичного предложения на любом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этапе снижения цены такого имущества при отсутствии заявок на участие в торгах по цене, установленной для этого этапа снижения цены имущества.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кредитор по обязательствам, обеспеченным залогом имущества должника, при оставлении предмета залога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 в ходе торгов по продаже имущества посредством публичного предложения обязан перечислить денежные средства в размере, определенном в соответствии с пунктами 1 и 2 статьи 138 Закона о банкротстве, на специальный банковский счет в порядке, установленн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пунктом 3 статьи 138 Закона о банкротстве, одновременно с направлением конкурсному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управляющему заявления об оставлении предмета залога за собой.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поступления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денежных средств на специальный банковский счет и получения арбитражным управляющим заяв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об оставлении предмета залога за собой торги по продаже предмета залога посредством публичного предложения подлежат завершению.</w:t>
      </w:r>
    </w:p>
    <w:p w14:paraId="0000006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 продаже имущества посредством публичного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начальная цена имущества устанавливается в размере начально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цены, указанной в сообщении о продаже имущества Должника на повторных торгах. Начальная цена публичного предложения по лоту устанавливается сроком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7 календарных дней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дня, установленного в сообщении о продаже. По истечении указанного срока цена публичного предложения понижается на 10 (десять) процентов от начальной цены публичного предложения каждые 7 календарных дней. Цена на каждом интервале задается как цена на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едыдущем интервале предложения минус процент снижения от начальной цены продажи имущества посредством публичного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предложения.</w:t>
      </w:r>
    </w:p>
    <w:p w14:paraId="00000062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3.28.Минимальная цена на торгах посредством публичного предложения устанавливается в размере 60 процентов от начальной цены публич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предложения. </w:t>
      </w:r>
    </w:p>
    <w:p w14:paraId="00000063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3.29. В сообщении о продаже имущества посредством публичного предложения указывается шаг снижения, срок приема заявок срок, по истечению которого последовательно снижается цена и минимальная цена (цена отсечения) продажи имущества посред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 публичного предложения.</w:t>
      </w:r>
    </w:p>
    <w:p w14:paraId="00000064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3.30.Участниками признаются Заявители, представившие Заявки и прилагаемые к ним документы, которые соответствуют требованиям, установленным Законом о банкротстве и указанным в Сообщении о торгах, а также обеспечившие поступлен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задатка на счет, указанный в сообщении о торгах, на дату составления протокола об определении Участников торгов.</w:t>
      </w:r>
    </w:p>
    <w:p w14:paraId="00000065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3.31. По окончании Очередного периода снижения цены при наличии заявок Организатор торгов составляет протокол об определении Участников торг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ов. </w:t>
      </w:r>
    </w:p>
    <w:p w14:paraId="00000066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представил в установленный срок заявку на участие в торгах, содержащую предложение о цене имущества 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несколько участников торгов по продаже имущества должника посредством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 должника принадлежит участнику торгов, который первым представил в установленный срок заявку на участие в торгах по продаже имущества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должника посредством публичного предложения</w:t>
      </w:r>
    </w:p>
    <w:p w14:paraId="00000067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даты определения победителя торгов по продаже имущества посредство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публичного предложения прием заявок прекращается.</w:t>
      </w:r>
    </w:p>
    <w:p w14:paraId="00000068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3.34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случае если по истечении периодов реализации, имущество не будет реализовано в порядке публичного предложения, Кредитор-залогодержатель утверждает новое п</w:t>
      </w:r>
      <w:r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</w:rPr>
        <w:t>оложение o порядке и условиях проведения то</w:t>
      </w:r>
      <w:r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</w:rPr>
        <w:t xml:space="preserve">ргов, либо вносит изменения в действующее положение в соответствующей части. </w:t>
      </w:r>
    </w:p>
    <w:p w14:paraId="00000069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A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4. Заключительные положения.</w:t>
      </w:r>
    </w:p>
    <w:p w14:paraId="0000006B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C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Изменение сроков или существенных условий продажи имущества должника подлежит обязательному согласованию с залоговым кредитором указанного Должника.</w:t>
      </w:r>
    </w:p>
    <w:p w14:paraId="0000006D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случае обнаружения финансовым управляющим Должника при проведении процедуры реализации имуществ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гражданина обстоятельств, в связи с которыми требуется внесение дополнений/изменений в настоящий порядок продажи имущества Должника, Финансовый управляющий предоставляет соответствующие предложения об изменениях/дополнениях порядка, сроков и условий прод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 имущества должника. Предложения о вышеназванных изменениях вносятся финансовым управляющим в течение 1 (одного) месяца с момента возникновения указанных обстоятельств.</w:t>
      </w:r>
    </w:p>
    <w:p w14:paraId="0000006E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В остальном, что не предусмотрено настоящим Порядком, Финансовый управляющий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йствует по своему усмотрению, руководствуясь действующим законодательством Российской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ерации.</w:t>
      </w:r>
    </w:p>
    <w:p w14:paraId="0000006F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70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30j0zll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</w:p>
    <w:p w14:paraId="00000071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Финансовый </w:t>
      </w:r>
    </w:p>
    <w:p w14:paraId="00000072" w14:textId="77777777" w:rsidR="00E35703" w:rsidRDefault="006B049A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Управляющий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Моторина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Екатерина   Витальевна </w:t>
      </w:r>
    </w:p>
    <w:p w14:paraId="00000073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4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5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6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7" w14:textId="77777777" w:rsidR="00E35703" w:rsidRDefault="00E35703">
      <w:pPr>
        <w:pStyle w:val="LO-normal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8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9" w14:textId="77777777" w:rsidR="00E35703" w:rsidRDefault="00E35703">
      <w:pPr>
        <w:pStyle w:val="LO-normal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A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B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C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C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GoBack"/>
      <w:bookmarkEnd w:id="5"/>
    </w:p>
    <w:p w14:paraId="0000008D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E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F" w14:textId="77777777" w:rsidR="00E35703" w:rsidRDefault="00E35703">
      <w:pPr>
        <w:pStyle w:val="LO-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35703">
      <w:pgSz w:w="11906" w:h="16838"/>
      <w:pgMar w:top="567" w:right="850" w:bottom="426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883"/>
    <w:multiLevelType w:val="multilevel"/>
    <w:tmpl w:val="72EEA25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5703"/>
    <w:rsid w:val="006B049A"/>
    <w:rsid w:val="00E3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5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next w:val="10"/>
    <w:qFormat/>
    <w:pPr>
      <w:suppressLineNumbers/>
    </w:pPr>
    <w:rPr>
      <w:rFonts w:cs="Lohit Devanagari"/>
    </w:rPr>
  </w:style>
  <w:style w:type="paragraph" w:customStyle="1" w:styleId="LO-normal1">
    <w:name w:val="LO-normal1"/>
    <w:qFormat/>
    <w:pPr>
      <w:suppressAutoHyphens/>
    </w:pPr>
    <w:rPr>
      <w:lang w:eastAsia="zh-CN" w:bidi="hi-IN"/>
    </w:rPr>
  </w:style>
  <w:style w:type="paragraph" w:styleId="a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Pr>
      <w:b/>
      <w:bCs/>
    </w:rPr>
  </w:style>
  <w:style w:type="paragraph" w:styleId="10">
    <w:name w:val="index 1"/>
    <w:basedOn w:val="a"/>
    <w:next w:val="a"/>
    <w:qFormat/>
  </w:style>
  <w:style w:type="paragraph" w:styleId="af0">
    <w:name w:val="Subtitle"/>
    <w:basedOn w:val="11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1">
    <w:name w:val="Обычный1"/>
    <w:qFormat/>
    <w:pPr>
      <w:suppressAutoHyphens/>
    </w:pPr>
    <w:rPr>
      <w:lang w:eastAsia="zh-CN" w:bidi="hi-IN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customStyle="1" w:styleId="20">
    <w:name w:val="Обычный2"/>
    <w:qFormat/>
    <w:pPr>
      <w:suppressAutoHyphens/>
    </w:pPr>
    <w:rPr>
      <w:lang w:eastAsia="zh-CN" w:bidi="hi-IN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5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next w:val="10"/>
    <w:qFormat/>
    <w:pPr>
      <w:suppressLineNumbers/>
    </w:pPr>
    <w:rPr>
      <w:rFonts w:cs="Lohit Devanagari"/>
    </w:rPr>
  </w:style>
  <w:style w:type="paragraph" w:customStyle="1" w:styleId="LO-normal1">
    <w:name w:val="LO-normal1"/>
    <w:qFormat/>
    <w:pPr>
      <w:suppressAutoHyphens/>
    </w:pPr>
    <w:rPr>
      <w:lang w:eastAsia="zh-CN" w:bidi="hi-IN"/>
    </w:rPr>
  </w:style>
  <w:style w:type="paragraph" w:styleId="a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Pr>
      <w:b/>
      <w:bCs/>
    </w:rPr>
  </w:style>
  <w:style w:type="paragraph" w:styleId="10">
    <w:name w:val="index 1"/>
    <w:basedOn w:val="a"/>
    <w:next w:val="a"/>
    <w:qFormat/>
  </w:style>
  <w:style w:type="paragraph" w:styleId="af0">
    <w:name w:val="Subtitle"/>
    <w:basedOn w:val="11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1">
    <w:name w:val="Обычный1"/>
    <w:qFormat/>
    <w:pPr>
      <w:suppressAutoHyphens/>
    </w:pPr>
    <w:rPr>
      <w:lang w:eastAsia="zh-CN" w:bidi="hi-IN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customStyle="1" w:styleId="20">
    <w:name w:val="Обычный2"/>
    <w:qFormat/>
    <w:pPr>
      <w:suppressAutoHyphens/>
    </w:pPr>
    <w:rPr>
      <w:lang w:eastAsia="zh-CN" w:bidi="hi-IN"/>
    </w:r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aLMAskg0a0cO56FRJV6bOSjTg==">CgMxLjAyCWguMWZvYjl0ZTIOaC5ncmcwazQ1ODc4NDUyCWguM3pueXNoNzIJaC4yZXQ5MnAwMgloLjMwajB6bGwyDmgueDB5YzV3M2Q3NWFuOAByITF2Y3hIMVA3QktSUnFUd3dsaHFkbFk1YVFkaFBTRFlTSQ==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3085</Words>
  <Characters>17591</Characters>
  <Application>Microsoft Office Word</Application>
  <DocSecurity>0</DocSecurity>
  <Lines>146</Lines>
  <Paragraphs>41</Paragraphs>
  <ScaleCrop>false</ScaleCrop>
  <Company/>
  <LinksUpToDate>false</LinksUpToDate>
  <CharactersWithSpaces>20635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Опара</dc:creator>
  <cp:lastModifiedBy>Churina Rima</cp:lastModifiedBy>
  <cp:revision>2</cp:revision>
  <dcterms:created xsi:type="dcterms:W3CDTF">2022-07-29T12:31:00Z</dcterms:created>
  <dcterms:modified xsi:type="dcterms:W3CDTF">2023-09-12T06:41:00Z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8C550EF510A54E63A8E08DE445C4BE8C</vt:lpwstr>
  </property>
  <property fmtid="{D5CDD505-2E9C-101B-9397-08002B2CF9AE}" pid="3" name="KSOProductBuildVer">
    <vt:lpwstr>1049-11.2.0.11306</vt:lpwstr>
  </property>
</Properties>
</file>