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0F6E10">
        <w:rPr>
          <w:color w:val="000000"/>
          <w:sz w:val="16"/>
          <w:szCs w:val="16"/>
        </w:rPr>
        <w:t xml:space="preserve">           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0F6E10">
        <w:rPr>
          <w:color w:val="000000"/>
          <w:sz w:val="16"/>
          <w:szCs w:val="16"/>
        </w:rPr>
        <w:t xml:space="preserve">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0F6E10">
        <w:rPr>
          <w:color w:val="000000"/>
          <w:sz w:val="16"/>
          <w:szCs w:val="16"/>
        </w:rPr>
        <w:t>_____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0F6E10">
        <w:rPr>
          <w:color w:val="000000"/>
          <w:sz w:val="16"/>
          <w:szCs w:val="16"/>
        </w:rPr>
        <w:t xml:space="preserve">3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ED6BF1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ED6BF1">
        <w:rPr>
          <w:b/>
          <w:bCs/>
          <w:iCs/>
          <w:sz w:val="16"/>
          <w:szCs w:val="16"/>
        </w:rPr>
        <w:t>Общество с ограниченной ответственностью «Розовый слон»</w:t>
      </w:r>
      <w:r w:rsidRPr="00ED6BF1">
        <w:rPr>
          <w:sz w:val="16"/>
          <w:szCs w:val="16"/>
        </w:rPr>
        <w:t>, в лице конкурсного управляющего Корнюшкина Геннадия Александровича, действующего на основании Решения  Арбитражного суда Краснодарского края от 21.03.2016г. по делу № А32–27449/15</w:t>
      </w:r>
      <w:r w:rsidR="00B7157F">
        <w:rPr>
          <w:sz w:val="16"/>
          <w:szCs w:val="16"/>
        </w:rPr>
        <w:t>, 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  <w:proofErr w:type="gramEnd"/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 xml:space="preserve">не позднеетридцати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 xml:space="preserve">0,5 </w:t>
      </w:r>
      <w:r w:rsidR="005C31FE" w:rsidRPr="008827AF">
        <w:rPr>
          <w:color w:val="FF0000"/>
          <w:sz w:val="16"/>
          <w:szCs w:val="16"/>
        </w:rPr>
        <w:t>%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«Розовый слон»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</w:t>
            </w:r>
            <w:r>
              <w:rPr>
                <w:sz w:val="16"/>
                <w:szCs w:val="16"/>
              </w:rPr>
              <w:t>350072, Краснодарский край, 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раснодар, улица Ангарская, дом 2/2.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Адрес для направления корреспонденции: 105082, 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Москва, а/я 117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ОГРН </w:t>
            </w:r>
            <w:r>
              <w:rPr>
                <w:rFonts w:ascii="Times New Roman" w:hAnsi="Times New Roman"/>
                <w:sz w:val="16"/>
                <w:szCs w:val="16"/>
              </w:rPr>
              <w:t>1053109237444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ИНН </w:t>
            </w:r>
            <w:r>
              <w:rPr>
                <w:rFonts w:ascii="Times New Roman" w:hAnsi="Times New Roman"/>
                <w:sz w:val="16"/>
                <w:szCs w:val="16"/>
              </w:rPr>
              <w:t>3128050709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Реквизиты банковского счета: 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Расчетный счет № </w:t>
            </w:r>
            <w:r>
              <w:rPr>
                <w:b/>
                <w:color w:val="000000"/>
                <w:sz w:val="16"/>
                <w:szCs w:val="16"/>
              </w:rPr>
              <w:t>40702810538000173707</w:t>
            </w:r>
            <w:r>
              <w:rPr>
                <w:sz w:val="16"/>
                <w:szCs w:val="16"/>
              </w:rPr>
              <w:t xml:space="preserve">, 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банк ПАО Сбербанк № 9038/01793,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30101810400000000225, БИК 044525225, ИНН7707083893</w:t>
            </w:r>
          </w:p>
          <w:p w:rsidR="00ED6BF1" w:rsidRPr="00ED6BF1" w:rsidRDefault="00ED6BF1" w:rsidP="00ED6BF1">
            <w:pPr>
              <w:ind w:firstLine="318"/>
              <w:rPr>
                <w:sz w:val="16"/>
                <w:szCs w:val="16"/>
              </w:rPr>
            </w:pPr>
          </w:p>
          <w:p w:rsid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Конкурсный управляющий</w:t>
            </w:r>
            <w:r w:rsidRPr="00ED6BF1">
              <w:rPr>
                <w:b/>
                <w:sz w:val="16"/>
                <w:szCs w:val="16"/>
              </w:rPr>
              <w:tab/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___________________________ /Г.А. Корнюшкин/</w:t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sz w:val="16"/>
                <w:szCs w:val="16"/>
              </w:rPr>
              <w:t>М.П.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FD536B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FD536B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0F6E10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0F6E10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36B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2023-08-10T13:14:00Z</dcterms:created>
  <dcterms:modified xsi:type="dcterms:W3CDTF">2023-08-10T13:14:00Z</dcterms:modified>
</cp:coreProperties>
</file>