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7524–ОТПП/2/11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августа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7524-ОТПП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 «УЭС»;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Права требования в размере: 2 186 760,00 руб. к ООО "ГарантТорг" (ИНН:6685184011), 6 970 000,00 руб. к ООО "КРИСТАЛЛ ПЛЮС" (ИНН:6658527171), 200 000,00 руб. к ООО "УРАЛСТРОЙЭНЕРГО" (ИНН: 7422027564), 4 054 355,92 руб. к ООО "Электроуралналадка" (ИНН:6662117700), 180 000,00 руб. к ООО "КарталГрупп" (ИНН: 1656100603), 104 246,00 руб. к ООО "Клуб Путешествий"Крылья" (ИНН:6672148111), 1 625 492,90 руб. к АО "ОКБМ Африкантов" (ИНН: 5259077666), 1 004 448,44 руб. к ПАО "Метафракс Кемикалс" (ИНН: 5913001268).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3 379 337.77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А60-32807/2020.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«УК «УЭС».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