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«ОДИНЦОВСКАЯ СТРОИТЕЛЬНАЯ КОМПАНИЯ» (ОГРН: 1145032005095, ИНН: 5032280744) задолженности в размере 8 870 177 руб. 80 коп., проценты за пользование чужими денежными средствами в размере 734 192 руб. 00 коп., расходы по оплате государственной пошлины в размере 71 021 руб. 85 коп., процентов за пользование чужими денежными средствами за период с 01.09.2019 по 31.03.2022 в размере 1 444 778 руб. 47 коп.; проценты за пользование чужими денежными средствами за период с 02.10.2022 по 07.11.2022 в размере 67 977 руб. 61 коп., проценты начисленные на сумму задолженности 8 941 199 руб. 65 коп. за период с 08.11.2022 по день фактической уплаты. Решение АСМО от 30.01.2020 по делу № А41-89571/2019.Решение АСМО от 15.08.2022г.  по делу № А41-8538/22.Решение АСМО от 06.03.2023г.  по делу № А41-91437/22..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10 069 333.20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