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расходов.В случае возврата автомобиля, продаже подлежит:Автомобиль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остатки.ОпределениеАСККот 21.10.2022 по делу №А32-27449/2015-56/91-Б-10-С..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493 881.30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