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>
        <w:rPr>
          <w:rFonts w:ascii="Times New Roman" w:hAnsi="Times New Roman"/>
          <w:bCs/>
          <w:sz w:val="20"/>
          <w:lang w:eastAsia="ru-RU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 w:rsidRPr="00E87A71">
        <w:rPr>
          <w:rFonts w:ascii="Times New Roman" w:hAnsi="Times New Roman"/>
          <w:b/>
          <w:sz w:val="20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E87A71">
        <w:rPr>
          <w:rFonts w:ascii="Times New Roman" w:hAnsi="Times New Roman"/>
          <w:sz w:val="20"/>
          <w:lang w:eastAsia="ru-RU"/>
        </w:rPr>
        <w:t>10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0A345C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0A345C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0A345C">
        <w:rPr>
          <w:rFonts w:ascii="Times New Roman" w:hAnsi="Times New Roman"/>
          <w:b/>
          <w:sz w:val="20"/>
        </w:rPr>
        <w:t>АГАТ</w:t>
      </w:r>
      <w:r w:rsidRPr="000A345C">
        <w:rPr>
          <w:rFonts w:ascii="Times New Roman" w:hAnsi="Times New Roman"/>
          <w:b/>
          <w:sz w:val="20"/>
        </w:rPr>
        <w:t>»</w:t>
      </w:r>
    </w:p>
    <w:p w:rsidR="008D397F" w:rsidRPr="000A345C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0A345C">
        <w:rPr>
          <w:rFonts w:ascii="Times New Roman" w:hAnsi="Times New Roman"/>
          <w:bCs/>
          <w:sz w:val="20"/>
        </w:rPr>
        <w:t xml:space="preserve">Почтовый </w:t>
      </w:r>
      <w:r w:rsidR="0017519B" w:rsidRPr="000A345C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  <w:lang w:eastAsia="en-US"/>
        </w:rPr>
        <w:t xml:space="preserve">ИНН </w:t>
      </w:r>
      <w:r w:rsidRPr="000A345C">
        <w:rPr>
          <w:rFonts w:ascii="Times New Roman" w:hAnsi="Times New Roman"/>
          <w:sz w:val="20"/>
        </w:rPr>
        <w:t>5022072992</w:t>
      </w:r>
    </w:p>
    <w:p w:rsidR="0017519B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  <w:lang w:eastAsia="en-US"/>
        </w:rPr>
        <w:t xml:space="preserve">КПП </w:t>
      </w:r>
      <w:r w:rsidRPr="000A345C">
        <w:rPr>
          <w:rFonts w:ascii="Times New Roman" w:hAnsi="Times New Roman"/>
          <w:sz w:val="20"/>
        </w:rPr>
        <w:t>502201001</w:t>
      </w:r>
    </w:p>
    <w:p w:rsidR="0017519B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</w:rPr>
        <w:t>р</w:t>
      </w:r>
      <w:r w:rsidRPr="000A345C">
        <w:rPr>
          <w:rFonts w:ascii="Times New Roman" w:hAnsi="Times New Roman"/>
          <w:sz w:val="20"/>
          <w:lang w:eastAsia="en-US"/>
        </w:rPr>
        <w:t xml:space="preserve">/с </w:t>
      </w:r>
      <w:r w:rsidRPr="000A345C">
        <w:rPr>
          <w:rFonts w:ascii="Times New Roman" w:hAnsi="Times New Roman"/>
          <w:sz w:val="20"/>
        </w:rPr>
        <w:t>40702810601500151721</w:t>
      </w:r>
    </w:p>
    <w:p w:rsidR="000A345C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</w:rPr>
        <w:t>в</w:t>
      </w:r>
      <w:r w:rsidR="00384CDE" w:rsidRPr="000A345C">
        <w:rPr>
          <w:rFonts w:ascii="Times New Roman" w:hAnsi="Times New Roman"/>
          <w:sz w:val="20"/>
        </w:rPr>
        <w:t xml:space="preserve"> </w:t>
      </w:r>
      <w:r w:rsidRPr="000A345C">
        <w:rPr>
          <w:rFonts w:ascii="Times New Roman" w:hAnsi="Times New Roman"/>
          <w:sz w:val="20"/>
          <w:lang w:eastAsia="en-US"/>
        </w:rPr>
        <w:t xml:space="preserve">БАНКЕ </w:t>
      </w:r>
      <w:r w:rsidR="000A345C" w:rsidRPr="000A345C">
        <w:rPr>
          <w:rFonts w:ascii="Times New Roman" w:hAnsi="Times New Roman"/>
          <w:sz w:val="20"/>
        </w:rPr>
        <w:t>ООО "Банк Точка"</w:t>
      </w:r>
    </w:p>
    <w:p w:rsidR="000A345C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  <w:lang w:eastAsia="en-US"/>
        </w:rPr>
        <w:t xml:space="preserve">БИК </w:t>
      </w:r>
      <w:r w:rsidR="000A345C" w:rsidRPr="000A345C">
        <w:rPr>
          <w:rFonts w:ascii="Times New Roman" w:hAnsi="Times New Roman"/>
          <w:sz w:val="20"/>
        </w:rPr>
        <w:t>044525104</w:t>
      </w:r>
    </w:p>
    <w:p w:rsidR="000A345C" w:rsidRPr="000A345C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0A345C">
        <w:rPr>
          <w:rFonts w:ascii="Times New Roman" w:hAnsi="Times New Roman"/>
          <w:sz w:val="20"/>
          <w:lang w:eastAsia="en-US"/>
        </w:rPr>
        <w:t xml:space="preserve">к/с  </w:t>
      </w:r>
      <w:r w:rsidR="000A345C" w:rsidRPr="000A345C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E87A71">
        <w:rPr>
          <w:rFonts w:ascii="Times New Roman" w:hAnsi="Times New Roman"/>
          <w:color w:val="C00000"/>
          <w:sz w:val="20"/>
        </w:rPr>
        <w:t>Устенко Д.В.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р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0A345C" w:rsidRPr="000A345C" w:rsidRDefault="000A345C" w:rsidP="000A345C">
            <w:pPr>
              <w:jc w:val="both"/>
              <w:rPr>
                <w:rFonts w:ascii="Times New Roman" w:hAnsi="Times New Roman"/>
                <w:sz w:val="20"/>
              </w:rPr>
            </w:pPr>
            <w:r w:rsidRPr="000A345C">
              <w:rPr>
                <w:rFonts w:ascii="Times New Roman" w:hAnsi="Times New Roman"/>
                <w:sz w:val="20"/>
              </w:rPr>
              <w:t xml:space="preserve">в </w:t>
            </w:r>
            <w:r w:rsidRPr="000A345C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0A345C">
              <w:rPr>
                <w:rFonts w:ascii="Times New Roman" w:hAnsi="Times New Roman"/>
                <w:sz w:val="20"/>
              </w:rPr>
              <w:t>ООО "Банк Точка"</w:t>
            </w:r>
          </w:p>
          <w:p w:rsidR="000A345C" w:rsidRPr="000A345C" w:rsidRDefault="000A345C" w:rsidP="000A345C">
            <w:pPr>
              <w:jc w:val="both"/>
              <w:rPr>
                <w:rFonts w:ascii="Times New Roman" w:hAnsi="Times New Roman"/>
                <w:sz w:val="20"/>
              </w:rPr>
            </w:pPr>
            <w:r w:rsidRPr="000A345C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0A345C">
              <w:rPr>
                <w:rFonts w:ascii="Times New Roman" w:hAnsi="Times New Roman"/>
                <w:sz w:val="20"/>
              </w:rPr>
              <w:t>044525104</w:t>
            </w:r>
          </w:p>
          <w:p w:rsidR="000A345C" w:rsidRPr="000A345C" w:rsidRDefault="000A345C" w:rsidP="000A345C">
            <w:pPr>
              <w:jc w:val="both"/>
              <w:rPr>
                <w:rFonts w:ascii="Times New Roman" w:hAnsi="Times New Roman"/>
                <w:sz w:val="20"/>
              </w:rPr>
            </w:pPr>
            <w:r w:rsidRPr="000A345C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0A345C">
              <w:rPr>
                <w:rFonts w:ascii="Times New Roman" w:hAnsi="Times New Roman"/>
                <w:sz w:val="20"/>
              </w:rPr>
              <w:t>30101810745374525104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4D" w:rsidRDefault="0006684D">
      <w:r>
        <w:separator/>
      </w:r>
    </w:p>
  </w:endnote>
  <w:endnote w:type="continuationSeparator" w:id="1">
    <w:p w:rsidR="0006684D" w:rsidRDefault="0006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7A2AB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7A2AB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A345C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4D" w:rsidRDefault="0006684D">
      <w:r>
        <w:separator/>
      </w:r>
    </w:p>
  </w:footnote>
  <w:footnote w:type="continuationSeparator" w:id="1">
    <w:p w:rsidR="0006684D" w:rsidRDefault="0006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6684D"/>
    <w:rsid w:val="00097D94"/>
    <w:rsid w:val="000A345C"/>
    <w:rsid w:val="000C3ACD"/>
    <w:rsid w:val="000D28CC"/>
    <w:rsid w:val="00104E35"/>
    <w:rsid w:val="00112114"/>
    <w:rsid w:val="001147E0"/>
    <w:rsid w:val="00117F4E"/>
    <w:rsid w:val="00130F65"/>
    <w:rsid w:val="001667D4"/>
    <w:rsid w:val="001704C3"/>
    <w:rsid w:val="00170FEF"/>
    <w:rsid w:val="001747B7"/>
    <w:rsid w:val="0017519B"/>
    <w:rsid w:val="00180779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A2AB1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C5AA1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87A71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2023-07-03T11:44:00Z</dcterms:created>
  <dcterms:modified xsi:type="dcterms:W3CDTF">2023-07-03T11:44:00Z</dcterms:modified>
</cp:coreProperties>
</file>