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расходов.В случае возврата автомобиля, продаже подлежит:Автомобиль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остатки.ОпределениеАСККот 21.10.2022 по делу №А32-27449/2015-56/91-Б-10-С..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