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Дебиторская задолженность Закрытое акционерное общество "Экономико-Финансовая Энергетическо-Строительная корпорация" в размере 910984,55.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8 196.86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А60-22565/2019.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7391–ОТПП/1/12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16:24:58;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Наурзалинов Бакыт Айткалиевич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(ИНН:450300087492)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15:06:16;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Черных Катерина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(ИНН:622683233106)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19:05:31;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16:24:58.279578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Наурзалинов Бакыт Айткалиевич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27 502.27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15.06.2023 15:06:16.366496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Черных 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14.06.2023 19:05:31.418841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Наурзалинов Бакыт Айткалиевич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454001, г. Челябинск, ул. 250-летия Челябинска, д. 5В,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27 502.27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 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3. Обязательными условиями Договора являются:  сведения об имуществе, его составе, характеристиках, описание имущества;  цена продажи имущества;  порядок и срок передачи имущества покупателю;  сведения о наличии или об отсутствии обременении в отношении имущества/лота, в том числе публичного сервитута;  иные предусмотренные законодательством Российской Федерации условия. 4. Договор должен содержать условие о передаче имущества покупателю только после полной оплаты покупателем цены имущества. 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 8. Платежи осуществляются в денежной форме. 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 10. Переход права требования осуществляется после полной его оплаты. Расходы по оформлению перехода права требования возлагаются на победителя торгов. Реквизиты: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