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АО "ЭнергоСтройПроект" в размере 9580400,23.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86 223.60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А60-22565/2019.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7391–ОТПП/1/10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16:22:37;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16:22:37.789492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Екатеринбург, ул. Комсомольская, д.2А,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 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3. Обязательными условиями Договора являются:  сведения об имуществе, его составе, характеристиках, описание имущества;  цена продажи имущества;  порядок и срок передачи имущества покупателю;  сведения о наличии или об отсутствии обременении в отношении имущества/лота, в том числе публичного сервитута;  иные предусмотренные законодательством Российской Федерации условия. 4. Договор должен содержать условие о передаче имущества покупателю только после полной оплаты покупателем цены имущества. 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 8. Платежи осуществляются в денежной форме. 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 10. Переход права требования осуществляется после полной его оплаты. Расходы по оформлению перехода права требования возлагаются на победителя торгов. Реквизиты: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