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7233–ОТПП/2/11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июня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Права требования в размере: 2 186 760,00 руб. к ООО "ГарантТорг" (ИНН:6685184011), 6 970 000,00 руб. к ООО "КРИСТАЛЛ ПЛЮС" (ИНН:6658527171), 200 000,00 руб. к ООО "УРАЛСТРОЙЭНЕРГО" (ИНН: 7422027564), 4 054 355,92 руб. к ООО "Электроуралналадка" (ИНН:6662117700), 180 000,00 руб. к ООО "КарталГрупп" (ИНН: 1656100603), 104 246,00 руб. к ООО "Клуб Путешествий"Крылья" (ИНН:6672148111), 1 625 492,90 руб. к АО "ОКБМ Африкантов" (ИНН: 5259077666), 1 004 448,44 руб. к ПАО "Метафракс Кемикалс" (ИНН: 5913001268).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14 692 772.93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А60-32807/2020.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 «УЭС».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