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BB2628">
        <w:rPr>
          <w:sz w:val="22"/>
          <w:szCs w:val="22"/>
        </w:rPr>
        <w:t>_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proofErr w:type="spellStart"/>
      <w:r w:rsidR="00076C63" w:rsidRPr="00076C63">
        <w:t>Воротникова</w:t>
      </w:r>
      <w:proofErr w:type="spellEnd"/>
      <w:r w:rsidR="00076C63" w:rsidRPr="00076C63">
        <w:t xml:space="preserve"> Вадима Вячеславовича </w:t>
      </w:r>
      <w:proofErr w:type="spellStart"/>
      <w:r w:rsidRPr="005637EE">
        <w:rPr>
          <w:b/>
        </w:rPr>
        <w:t>Моторина</w:t>
      </w:r>
      <w:proofErr w:type="spellEnd"/>
      <w:r w:rsidRPr="005637EE">
        <w:rPr>
          <w:b/>
        </w:rPr>
        <w:t xml:space="preserve"> Екатерина Витальевна, </w:t>
      </w:r>
      <w:r w:rsidRPr="005637EE">
        <w:t xml:space="preserve">действующий на основании Решения </w:t>
      </w:r>
      <w:r w:rsidR="00202120" w:rsidRPr="00202120">
        <w:t xml:space="preserve">Арбитражного суда </w:t>
      </w:r>
      <w:r w:rsidR="00076C63" w:rsidRPr="00F844B0">
        <w:rPr>
          <w:noProof/>
        </w:rPr>
        <w:t>города Москвы от 21.12.2022 г. (резолютивная часть объявлена 15.12.2022) по делу № А40-211155/22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D73F5D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proofErr w:type="spellStart"/>
      <w:r w:rsidR="00076C63" w:rsidRPr="00076C63">
        <w:rPr>
          <w:sz w:val="22"/>
          <w:szCs w:val="22"/>
        </w:rPr>
        <w:t>Воротникова</w:t>
      </w:r>
      <w:proofErr w:type="spellEnd"/>
      <w:r w:rsidR="00076C63" w:rsidRPr="00076C63">
        <w:rPr>
          <w:sz w:val="22"/>
          <w:szCs w:val="22"/>
        </w:rPr>
        <w:t xml:space="preserve"> Вадима Вячеславовича</w:t>
      </w:r>
      <w:r w:rsidRPr="005637EE">
        <w:rPr>
          <w:sz w:val="22"/>
          <w:szCs w:val="22"/>
        </w:rPr>
        <w:t xml:space="preserve">  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076C63" w:rsidRDefault="00076C63" w:rsidP="00076C63">
      <w:pPr>
        <w:tabs>
          <w:tab w:val="left" w:pos="1814"/>
        </w:tabs>
        <w:ind w:right="141"/>
        <w:jc w:val="both"/>
      </w:pPr>
      <w:r>
        <w:t>Получатель: Воротников Вадим Вячеславович</w:t>
      </w:r>
    </w:p>
    <w:p w:rsidR="00076C63" w:rsidRDefault="00076C63" w:rsidP="00076C63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076C63" w:rsidRDefault="00076C63" w:rsidP="00076C63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076C63" w:rsidRDefault="00076C63" w:rsidP="00076C63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076C63" w:rsidRDefault="00076C63" w:rsidP="00076C63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076C63" w:rsidRDefault="00076C63" w:rsidP="00076C63">
      <w:pPr>
        <w:tabs>
          <w:tab w:val="left" w:pos="1814"/>
        </w:tabs>
        <w:ind w:right="141"/>
        <w:jc w:val="both"/>
      </w:pPr>
      <w:r>
        <w:t>ИНН банка 7707083893</w:t>
      </w:r>
    </w:p>
    <w:p w:rsidR="00076C63" w:rsidRDefault="00076C63" w:rsidP="00076C63">
      <w:pPr>
        <w:tabs>
          <w:tab w:val="left" w:pos="1814"/>
        </w:tabs>
        <w:ind w:right="141"/>
        <w:jc w:val="both"/>
      </w:pPr>
      <w:r>
        <w:t>Счет получателя 40817.810.8.3812.0900131</w:t>
      </w:r>
    </w:p>
    <w:p w:rsidR="005637EE" w:rsidRPr="005637EE" w:rsidRDefault="00202120" w:rsidP="00076C63">
      <w:pPr>
        <w:tabs>
          <w:tab w:val="left" w:pos="1814"/>
        </w:tabs>
        <w:ind w:right="141"/>
        <w:jc w:val="both"/>
      </w:pPr>
      <w:r>
        <w:t xml:space="preserve">            2.2</w:t>
      </w:r>
      <w:proofErr w:type="gramStart"/>
      <w:r>
        <w:t xml:space="preserve"> Н</w:t>
      </w:r>
      <w:proofErr w:type="gramEnd"/>
      <w:r w:rsidR="005637EE" w:rsidRPr="005637EE">
        <w:t>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</w:t>
      </w:r>
      <w:r w:rsidR="00691E6D">
        <w:t>10  (Десяти) рабочих дней</w:t>
      </w:r>
      <w:r w:rsidRPr="005637EE">
        <w:t xml:space="preserve">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</w:t>
      </w:r>
      <w:r w:rsidR="00691E6D">
        <w:t xml:space="preserve">10  (Десяти) рабочих дней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</w:t>
      </w:r>
      <w:r w:rsidR="00691E6D" w:rsidRPr="00691E6D">
        <w:t>10  (Десяти) рабочих дней</w:t>
      </w:r>
      <w:r w:rsidRPr="005637EE">
        <w:t xml:space="preserve">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</w:t>
      </w:r>
      <w:r w:rsidRPr="005637EE">
        <w:lastRenderedPageBreak/>
        <w:t xml:space="preserve">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 xml:space="preserve">.  Договора, в   течение </w:t>
      </w:r>
      <w:r w:rsidR="00FC27ED">
        <w:t>5</w:t>
      </w:r>
      <w:r w:rsidR="00691E6D">
        <w:t xml:space="preserve">  (</w:t>
      </w:r>
      <w:r w:rsidR="00FC27ED">
        <w:t>пяти</w:t>
      </w:r>
      <w:r w:rsidR="00691E6D">
        <w:t>) рабочих дней</w:t>
      </w:r>
      <w:r w:rsidRPr="005637EE">
        <w:t xml:space="preserve">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</w:t>
      </w:r>
      <w:r w:rsidR="00691E6D">
        <w:t>10  (Десяти) рабочих дней</w:t>
      </w:r>
      <w:r w:rsidRPr="005637EE">
        <w:t xml:space="preserve">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="00691E6D">
        <w:t>10  (Десяти) рабочих дней</w:t>
      </w:r>
      <w:r w:rsidRPr="005637EE">
        <w:t xml:space="preserve">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proofErr w:type="spellStart"/>
      <w:r w:rsidR="00076C63" w:rsidRPr="00076C63">
        <w:t>Воротникова</w:t>
      </w:r>
      <w:proofErr w:type="spellEnd"/>
      <w:r w:rsidR="00076C63" w:rsidRPr="00076C63">
        <w:t xml:space="preserve"> Вадима Вячеславовича </w:t>
      </w:r>
      <w:proofErr w:type="spellStart"/>
      <w:r w:rsidRPr="00424C28">
        <w:t>Моторина</w:t>
      </w:r>
      <w:proofErr w:type="spellEnd"/>
      <w:r w:rsidRPr="00424C28">
        <w:t xml:space="preserve">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 xml:space="preserve">Адрес для направления корреспонденции: 109444, г. Москва, </w:t>
      </w:r>
      <w:proofErr w:type="spellStart"/>
      <w:r w:rsidRPr="00424C28">
        <w:t>ул</w:t>
      </w:r>
      <w:proofErr w:type="gramStart"/>
      <w:r w:rsidRPr="00424C28">
        <w:t>.Т</w:t>
      </w:r>
      <w:proofErr w:type="gramEnd"/>
      <w:r w:rsidRPr="00424C28">
        <w:t>ашкентская</w:t>
      </w:r>
      <w:proofErr w:type="spellEnd"/>
      <w:r w:rsidRPr="00424C28">
        <w:t>, д.15/22, а/я 7</w:t>
      </w:r>
    </w:p>
    <w:p w:rsidR="005637EE" w:rsidRPr="00424C28" w:rsidRDefault="005637EE" w:rsidP="005637EE"/>
    <w:p w:rsidR="00076C63" w:rsidRPr="00795ECA" w:rsidRDefault="00076C63" w:rsidP="00076C63">
      <w:pPr>
        <w:jc w:val="both"/>
      </w:pPr>
      <w:r w:rsidRPr="00945804">
        <w:t xml:space="preserve">Получатель: </w:t>
      </w:r>
      <w:r w:rsidRPr="00F844B0">
        <w:t>Воротников Вадим Вячеславович</w:t>
      </w:r>
    </w:p>
    <w:p w:rsidR="00076C63" w:rsidRPr="00795ECA" w:rsidRDefault="00076C63" w:rsidP="00076C63">
      <w:pPr>
        <w:jc w:val="both"/>
      </w:pPr>
      <w:r w:rsidRPr="00795ECA">
        <w:t>Банк получателя ПАО Сбербанк</w:t>
      </w:r>
    </w:p>
    <w:p w:rsidR="00076C63" w:rsidRPr="00795ECA" w:rsidRDefault="00076C63" w:rsidP="00076C63">
      <w:pPr>
        <w:jc w:val="both"/>
      </w:pPr>
      <w:proofErr w:type="gramStart"/>
      <w:r w:rsidRPr="00795ECA">
        <w:t>Кор/счет</w:t>
      </w:r>
      <w:proofErr w:type="gramEnd"/>
      <w:r w:rsidRPr="00795ECA">
        <w:t xml:space="preserve"> банка </w:t>
      </w:r>
      <w:r w:rsidRPr="00795ECA">
        <w:tab/>
      </w:r>
    </w:p>
    <w:p w:rsidR="00076C63" w:rsidRPr="00795ECA" w:rsidRDefault="00076C63" w:rsidP="00076C63">
      <w:pPr>
        <w:jc w:val="both"/>
      </w:pPr>
      <w:r w:rsidRPr="00795ECA">
        <w:t xml:space="preserve">30101810400000000225 </w:t>
      </w:r>
    </w:p>
    <w:p w:rsidR="00076C63" w:rsidRPr="00795ECA" w:rsidRDefault="00076C63" w:rsidP="00076C63">
      <w:pPr>
        <w:jc w:val="both"/>
      </w:pPr>
      <w:r w:rsidRPr="00795ECA">
        <w:t xml:space="preserve">БИК банка 044525225 </w:t>
      </w:r>
    </w:p>
    <w:p w:rsidR="00076C63" w:rsidRPr="00795ECA" w:rsidRDefault="00076C63" w:rsidP="00076C63">
      <w:pPr>
        <w:jc w:val="both"/>
      </w:pPr>
      <w:r w:rsidRPr="00795ECA">
        <w:t>ИНН банка 7707083893</w:t>
      </w:r>
    </w:p>
    <w:p w:rsidR="00076C63" w:rsidRDefault="00076C63" w:rsidP="00076C63">
      <w:pPr>
        <w:jc w:val="both"/>
      </w:pPr>
      <w:r w:rsidRPr="00795ECA">
        <w:t xml:space="preserve">Счет получателя </w:t>
      </w:r>
      <w:r w:rsidRPr="00F844B0">
        <w:t>40817.810.8.3812.0900131</w:t>
      </w:r>
    </w:p>
    <w:p w:rsidR="005637EE" w:rsidRPr="00424C28" w:rsidRDefault="005637EE" w:rsidP="005637EE"/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02160D" w:rsidRPr="00725301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proofErr w:type="spellStart"/>
            <w:r w:rsidR="00076C63" w:rsidRPr="00076C63">
              <w:t>Воротникова</w:t>
            </w:r>
            <w:proofErr w:type="spellEnd"/>
            <w:r w:rsidR="00076C63" w:rsidRPr="00076C63">
              <w:t xml:space="preserve"> Вадима Вячеславовича </w:t>
            </w:r>
            <w:bookmarkStart w:id="15" w:name="_GoBack"/>
            <w:bookmarkEnd w:id="15"/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proofErr w:type="spellStart"/>
            <w:r>
              <w:t>Моторина</w:t>
            </w:r>
            <w:proofErr w:type="spellEnd"/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5D" w:rsidRDefault="00D73F5D">
      <w:r>
        <w:separator/>
      </w:r>
    </w:p>
  </w:endnote>
  <w:endnote w:type="continuationSeparator" w:id="0">
    <w:p w:rsidR="00D73F5D" w:rsidRDefault="00D7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D73F5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076C63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5D" w:rsidRDefault="00D73F5D">
      <w:r>
        <w:separator/>
      </w:r>
    </w:p>
  </w:footnote>
  <w:footnote w:type="continuationSeparator" w:id="0">
    <w:p w:rsidR="00D73F5D" w:rsidRDefault="00D73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76C63"/>
    <w:rsid w:val="000C5969"/>
    <w:rsid w:val="00202120"/>
    <w:rsid w:val="003B5CED"/>
    <w:rsid w:val="005637EE"/>
    <w:rsid w:val="00576AE9"/>
    <w:rsid w:val="00633AB1"/>
    <w:rsid w:val="00691E6D"/>
    <w:rsid w:val="00BB2628"/>
    <w:rsid w:val="00BB4D63"/>
    <w:rsid w:val="00CD4D1C"/>
    <w:rsid w:val="00CF2DFE"/>
    <w:rsid w:val="00D30473"/>
    <w:rsid w:val="00D73F5D"/>
    <w:rsid w:val="00F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Churina Rima</cp:lastModifiedBy>
  <cp:revision>2</cp:revision>
  <dcterms:created xsi:type="dcterms:W3CDTF">2023-06-06T12:03:00Z</dcterms:created>
  <dcterms:modified xsi:type="dcterms:W3CDTF">2023-06-06T12:03:00Z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