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pStyle w:val="BodyText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</w:p>
    <w:p>
      <w:pPr>
        <w:pStyle w:val="BodyText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купли-продажи имущества </w:t>
      </w:r>
      <w:r>
        <w:rPr>
          <w:b/>
          <w:bCs/>
          <w:sz w:val="22"/>
          <w:szCs w:val="22"/>
        </w:rPr>
        <w:t xml:space="preserve">№ </w:t>
      </w:r>
      <w:r>
        <w:rPr>
          <w:b/>
          <w:bCs/>
          <w:sz w:val="22"/>
          <w:szCs w:val="22"/>
        </w:rPr>
        <w:t>___</w:t>
      </w:r>
    </w:p>
    <w:p>
      <w:pPr>
        <w:pStyle w:val="BodyText"/>
        <w:ind w:left="567"/>
        <w:jc w:val="left"/>
        <w:rPr>
          <w:bCs/>
          <w:sz w:val="22"/>
          <w:szCs w:val="22"/>
        </w:rPr>
      </w:pPr>
    </w:p>
    <w:p>
      <w:pPr>
        <w:pStyle w:val="BodyText"/>
        <w:ind w:left="567"/>
        <w:jc w:val="left"/>
        <w:rPr>
          <w:sz w:val="22"/>
          <w:szCs w:val="22"/>
        </w:rPr>
      </w:pPr>
      <w:r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Воронеж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>_</w:t>
      </w:r>
      <w:r>
        <w:rPr>
          <w:sz w:val="22"/>
          <w:szCs w:val="22"/>
        </w:rPr>
        <w:t>__  __________ г.</w:t>
      </w:r>
    </w:p>
    <w:p>
      <w:pPr>
        <w:pStyle w:val="BodyText"/>
        <w:ind w:left="567" w:firstLine="709"/>
        <w:rPr>
          <w:sz w:val="22"/>
          <w:szCs w:val="22"/>
        </w:rPr>
      </w:pPr>
    </w:p>
    <w:p>
      <w:pPr>
        <w:pStyle w:val="BodyText"/>
        <w:ind w:left="567" w:firstLine="709"/>
        <w:rPr>
          <w:sz w:val="22"/>
          <w:szCs w:val="22"/>
        </w:rPr>
      </w:pPr>
      <w:r>
        <w:rPr>
          <w:b/>
          <w:sz w:val="22"/>
          <w:szCs w:val="22"/>
        </w:rPr>
        <w:t xml:space="preserve">Фролова (Мищенко) Светлана Ивановна </w:t>
      </w:r>
      <w:r>
        <w:rPr>
          <w:sz w:val="22"/>
          <w:szCs w:val="22"/>
        </w:rPr>
        <w:t xml:space="preserve">в дальнейшем именуемая </w:t>
      </w:r>
      <w:r>
        <w:rPr>
          <w:b/>
          <w:sz w:val="22"/>
          <w:szCs w:val="22"/>
        </w:rPr>
        <w:t>«Продавец»</w:t>
      </w:r>
      <w:r>
        <w:rPr>
          <w:sz w:val="22"/>
          <w:szCs w:val="22"/>
        </w:rPr>
        <w:t xml:space="preserve">, в лице финансового управляющего Минаева Александра Владимировича, действующего на основании Решения Арбитражного суда Воронежской области </w:t>
      </w:r>
      <w:r>
        <w:rPr>
          <w:sz w:val="22"/>
          <w:szCs w:val="22"/>
        </w:rPr>
        <w:t xml:space="preserve">от 20.01.2021 года </w:t>
      </w:r>
      <w:r>
        <w:rPr>
          <w:sz w:val="22"/>
          <w:szCs w:val="22"/>
        </w:rPr>
        <w:t xml:space="preserve">по делу № А14-17746/2020 </w:t>
      </w:r>
      <w:r>
        <w:rPr>
          <w:sz w:val="22"/>
          <w:szCs w:val="22"/>
        </w:rPr>
        <w:t xml:space="preserve">с одной стороны и </w:t>
      </w:r>
    </w:p>
    <w:p>
      <w:pPr>
        <w:pStyle w:val="BodyText"/>
        <w:ind w:left="567" w:firstLine="709"/>
        <w:rPr>
          <w:sz w:val="22"/>
          <w:szCs w:val="22"/>
        </w:rPr>
      </w:pPr>
    </w:p>
    <w:p>
      <w:pPr>
        <w:pStyle w:val="BodyText"/>
        <w:ind w:left="567"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>в дальнейшем именуемый (-</w:t>
      </w:r>
      <w:r>
        <w:rPr>
          <w:sz w:val="22"/>
          <w:szCs w:val="22"/>
        </w:rPr>
        <w:t>ое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действующего на основании __________________________________________</w:t>
      </w:r>
      <w:r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при совместном упоминании именуемые </w:t>
      </w:r>
      <w:r>
        <w:rPr>
          <w:b/>
          <w:bCs/>
          <w:sz w:val="22"/>
          <w:szCs w:val="22"/>
        </w:rPr>
        <w:t>«Стороны»,</w:t>
      </w:r>
      <w:r>
        <w:rPr>
          <w:sz w:val="22"/>
          <w:szCs w:val="22"/>
        </w:rPr>
        <w:t xml:space="preserve"> заключили настоящий Договор о нижеследующем.</w:t>
      </w:r>
    </w:p>
    <w:p>
      <w:pPr>
        <w:pStyle w:val="BodyText"/>
        <w:ind w:left="567" w:firstLine="709"/>
        <w:rPr>
          <w:sz w:val="22"/>
          <w:szCs w:val="22"/>
        </w:rPr>
      </w:pPr>
    </w:p>
    <w:p>
      <w:pPr>
        <w:pStyle w:val="BodyText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>
      <w:pPr>
        <w:pStyle w:val="BodyText"/>
        <w:ind w:left="1636"/>
        <w:rPr>
          <w:bCs/>
          <w:sz w:val="22"/>
          <w:szCs w:val="22"/>
        </w:rPr>
      </w:pPr>
    </w:p>
    <w:p>
      <w:pPr>
        <w:pStyle w:val="BodyText"/>
        <w:ind w:left="567" w:firstLine="709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bCs/>
          <w:sz w:val="22"/>
          <w:szCs w:val="22"/>
        </w:rPr>
        <w:t xml:space="preserve"> В соответствии с Протоколом </w:t>
      </w:r>
      <w:r>
        <w:rPr>
          <w:bCs/>
          <w:sz w:val="22"/>
          <w:szCs w:val="22"/>
        </w:rPr>
        <w:t>№____</w:t>
      </w:r>
      <w:r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____________</w:t>
      </w:r>
      <w:r>
        <w:rPr>
          <w:bCs/>
          <w:sz w:val="22"/>
          <w:szCs w:val="22"/>
        </w:rPr>
        <w:t xml:space="preserve">г. </w:t>
      </w:r>
      <w:r>
        <w:rPr>
          <w:sz w:val="22"/>
          <w:szCs w:val="22"/>
        </w:rPr>
        <w:t xml:space="preserve">о результатах проведения торгов в электронной форме </w:t>
      </w:r>
      <w:r>
        <w:rPr>
          <w:sz w:val="22"/>
          <w:szCs w:val="22"/>
        </w:rPr>
        <w:t>по продаже имущества должника – Фроловой (Мищенко) Светланы Ивановны (14.09.1964 года рождения ,место рождения гор. Воронеж, зарегистрирована по адресу: г.Воронеж, ул. Брянская, д.15а,кв.50, ИНН 366504087350, СНИЛС 045-302-671-25)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Покупатель был признан </w:t>
      </w:r>
      <w:r>
        <w:rPr>
          <w:sz w:val="22"/>
          <w:szCs w:val="22"/>
        </w:rPr>
        <w:t>победителем открытых</w:t>
      </w:r>
      <w:r>
        <w:rPr>
          <w:sz w:val="22"/>
          <w:szCs w:val="22"/>
        </w:rPr>
        <w:t xml:space="preserve"> торгов по лоту №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, в состав которого в</w:t>
      </w:r>
      <w:r>
        <w:rPr>
          <w:sz w:val="22"/>
          <w:szCs w:val="22"/>
        </w:rPr>
        <w:t>ходил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следующее имущество: </w:t>
      </w:r>
    </w:p>
    <w:p>
      <w:pPr>
        <w:pStyle w:val="BodyText"/>
        <w:ind w:left="567" w:firstLine="709"/>
        <w:rPr>
          <w:sz w:val="22"/>
          <w:szCs w:val="22"/>
        </w:rPr>
      </w:pPr>
    </w:p>
    <w:tbl>
      <w:tblPr>
        <w:tblStyle w:val="TableGrid"/>
        <w:tblW w:w="0" w:type="auto"/>
        <w:tblInd w:w="567" w:type="dxa"/>
        <w:tblLook w:val="04A0"/>
      </w:tblPr>
      <w:tblGrid>
        <w:gridCol w:w="10139"/>
      </w:tblGrid>
      <w:tr>
        <w:trPr/>
        <w:tc>
          <w:tcPr>
            <w:cnfStyle w:val="101000000000"/>
            <w:tcW w:w="10139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10139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10139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</w:tbl>
    <w:p>
      <w:pPr>
        <w:pStyle w:val="ConsPlusNonformat"/>
        <w:widowControl w:val="on"/>
        <w:ind w:left="567" w:firstLine="709"/>
        <w:jc w:val="both"/>
        <w:rPr>
          <w:rFonts w:ascii="Times New Roman" w:cs="Times New Roman" w:hAnsi="Times New Roman"/>
          <w:bCs/>
          <w:sz w:val="22"/>
          <w:szCs w:val="22"/>
        </w:rPr>
      </w:pPr>
    </w:p>
    <w:p>
      <w:pPr>
        <w:pStyle w:val="ConsPlusNonformat"/>
        <w:widowControl w:val="on"/>
        <w:jc w:val="both"/>
        <w:rPr>
          <w:rFonts w:ascii="Times New Roman" w:cs="Times New Roman" w:hAnsi="Times New Roman"/>
          <w:bCs/>
          <w:sz w:val="22"/>
          <w:szCs w:val="22"/>
        </w:rPr>
      </w:pPr>
    </w:p>
    <w:p>
      <w:pPr>
        <w:pStyle w:val="ConsPlusNonformat"/>
        <w:widowControl w:val="on"/>
        <w:ind w:left="567" w:firstLine="709"/>
        <w:jc w:val="both"/>
        <w:rPr>
          <w:rFonts w:ascii="Times New Roman" w:cs="Times New Roman" w:hAnsi="Times New Roman"/>
          <w:bCs/>
          <w:sz w:val="22"/>
          <w:szCs w:val="22"/>
        </w:rPr>
      </w:pPr>
      <w:r>
        <w:rPr>
          <w:rFonts w:ascii="Times New Roman" w:cs="Times New Roman" w:hAnsi="Times New Roman"/>
          <w:bCs/>
          <w:sz w:val="22"/>
          <w:szCs w:val="22"/>
        </w:rPr>
        <w:t xml:space="preserve">1.2. </w:t>
      </w:r>
      <w:r>
        <w:rPr>
          <w:rFonts w:ascii="Times New Roman" w:cs="Times New Roman" w:hAnsi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>
        <w:rPr>
          <w:rFonts w:ascii="Times New Roman" w:cs="Times New Roman" w:hAnsi="Times New Roman"/>
          <w:bCs/>
          <w:sz w:val="22"/>
          <w:szCs w:val="22"/>
        </w:rPr>
        <w:br w:type="textWrapping"/>
      </w:r>
      <w:r>
        <w:rPr>
          <w:rFonts w:ascii="Times New Roman" w:cs="Times New Roman" w:hAnsi="Times New Roman"/>
          <w:bCs/>
          <w:sz w:val="22"/>
          <w:szCs w:val="22"/>
        </w:rPr>
        <w:t>о нижеследующем:</w:t>
      </w:r>
    </w:p>
    <w:p>
      <w:pPr>
        <w:pStyle w:val="ConsPlusNonformat"/>
        <w:widowControl w:val="on"/>
        <w:ind w:left="567" w:firstLine="709"/>
        <w:jc w:val="both"/>
        <w:rPr>
          <w:rFonts w:ascii="Times New Roman" w:cs="Times New Roman" w:hAnsi="Times New Roman"/>
          <w:bCs/>
          <w:sz w:val="22"/>
          <w:szCs w:val="22"/>
        </w:rPr>
      </w:pPr>
    </w:p>
    <w:p>
      <w:pPr>
        <w:pStyle w:val="ConsPlusNonformat"/>
        <w:widowControl w:val="on"/>
        <w:ind w:left="567" w:firstLine="709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bCs/>
          <w:sz w:val="22"/>
          <w:szCs w:val="22"/>
        </w:rPr>
        <w:t>Продавец</w:t>
      </w:r>
      <w:r>
        <w:rPr>
          <w:rFonts w:ascii="Times New Roman" w:cs="Times New Roman" w:hAnsi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TableGrid"/>
        <w:tblW w:w="0" w:type="auto"/>
        <w:tblInd w:w="567" w:type="dxa"/>
        <w:tblLook w:val="04A0"/>
      </w:tblPr>
      <w:tblGrid>
        <w:gridCol w:w="10139"/>
      </w:tblGrid>
      <w:tr>
        <w:trPr/>
        <w:tc>
          <w:tcPr>
            <w:cnfStyle w:val="10100000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01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  <w:tr>
        <w:trPr/>
        <w:tc>
          <w:tcPr>
            <w:cnfStyle w:val="001000100000"/>
            <w:tcW w:w="10480" w:type="dxa"/>
          </w:tcPr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</w:tc>
      </w:tr>
    </w:tbl>
    <w:p>
      <w:pPr>
        <w:pStyle w:val="ConsPlusNonformat"/>
        <w:widowControl w:val="on"/>
        <w:ind w:left="567" w:firstLine="709"/>
        <w:jc w:val="both"/>
        <w:rPr>
          <w:rFonts w:ascii="Times New Roman" w:cs="Times New Roman" w:hAnsi="Times New Roman"/>
          <w:sz w:val="22"/>
          <w:szCs w:val="22"/>
        </w:rPr>
      </w:pPr>
    </w:p>
    <w:p>
      <w:pPr>
        <w:pStyle w:val="BodyText"/>
        <w:ind w:left="567" w:firstLine="709"/>
        <w:rPr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Цена имущества</w:t>
      </w:r>
    </w:p>
    <w:p>
      <w:pPr>
        <w:ind w:left="567" w:firstLine="709"/>
        <w:jc w:val="both"/>
        <w:rPr>
          <w:sz w:val="22"/>
          <w:szCs w:val="22"/>
          <w:lang w:val="en-US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sz w:val="22"/>
          <w:szCs w:val="22"/>
        </w:rPr>
        <w:t>Ц</w:t>
      </w:r>
      <w:r>
        <w:rPr>
          <w:sz w:val="22"/>
          <w:szCs w:val="22"/>
        </w:rPr>
        <w:t>ена имущества, отчуждаемого по настоящему договору купли-продажи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определена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результате проведения открытых торгов и составляет</w:t>
      </w:r>
      <w:r>
        <w:rPr>
          <w:color w:val="000000"/>
          <w:sz w:val="22"/>
          <w:szCs w:val="22"/>
        </w:rPr>
        <w:t>________________</w:t>
      </w:r>
      <w:r>
        <w:rPr>
          <w:sz w:val="22"/>
          <w:szCs w:val="22"/>
        </w:rPr>
        <w:t>руб</w:t>
      </w:r>
      <w:r>
        <w:rPr>
          <w:sz w:val="22"/>
          <w:szCs w:val="22"/>
        </w:rPr>
        <w:t>., НДС не облагается</w:t>
      </w:r>
      <w:r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>
        <w:rPr>
          <w:sz w:val="22"/>
          <w:szCs w:val="22"/>
        </w:rPr>
        <w:br w:type="textWrapping"/>
      </w:r>
      <w:r>
        <w:rPr>
          <w:sz w:val="22"/>
          <w:szCs w:val="22"/>
          <w:u w:val="single"/>
        </w:rPr>
        <w:t>н</w:t>
      </w:r>
      <w:r>
        <w:rPr>
          <w:sz w:val="22"/>
          <w:szCs w:val="22"/>
          <w:u w:val="single"/>
        </w:rPr>
        <w:t xml:space="preserve">е признаются объектом обложения </w:t>
      </w:r>
      <w:r>
        <w:rPr>
          <w:sz w:val="22"/>
          <w:szCs w:val="22"/>
          <w:u w:val="single"/>
        </w:rPr>
        <w:t xml:space="preserve">налогом на добавленную стоимость. </w:t>
      </w:r>
      <w:r>
        <w:rPr>
          <w:sz w:val="22"/>
          <w:szCs w:val="22"/>
        </w:rPr>
        <w:t>Вышеуказанные изменения вступили в законную силу с 01.01.2015 г.</w:t>
      </w:r>
    </w:p>
    <w:p>
      <w:pPr>
        <w:ind w:left="567" w:firstLine="709"/>
        <w:jc w:val="both"/>
        <w:rPr>
          <w:color w:val="000000"/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sz w:val="22"/>
          <w:szCs w:val="22"/>
          <w:highlight w:val="none"/>
        </w:rPr>
        <w:t xml:space="preserve">Оплата отчуждаемого имущества должна быть произведена Покупателем в полном объеме </w:t>
      </w:r>
      <w:r>
        <w:rPr>
          <w:sz w:val="22"/>
          <w:szCs w:val="22"/>
          <w:highlight w:val="none"/>
        </w:rPr>
        <w:br w:type="textWrapping"/>
      </w:r>
      <w:r>
        <w:rPr>
          <w:sz w:val="22"/>
          <w:szCs w:val="22"/>
          <w:highlight w:val="none"/>
        </w:rPr>
        <w:t xml:space="preserve">не позднее тридцати дней с даты заключения настоящего договора </w:t>
      </w:r>
      <w:r>
        <w:rPr>
          <w:sz w:val="22"/>
          <w:szCs w:val="22"/>
          <w:highlight w:val="none"/>
        </w:rPr>
        <w:t>на</w:t>
      </w:r>
      <w:r>
        <w:rPr>
          <w:sz w:val="22"/>
          <w:szCs w:val="22"/>
          <w:highlight w:val="none"/>
        </w:rPr>
        <w:t xml:space="preserve"> специальный залоговый </w:t>
      </w:r>
      <w:r>
        <w:rPr>
          <w:sz w:val="22"/>
          <w:szCs w:val="22"/>
          <w:highlight w:val="none"/>
        </w:rPr>
        <w:t xml:space="preserve">счет: Получатель: </w:t>
      </w:r>
      <w:r>
        <w:rPr>
          <w:sz w:val="22"/>
          <w:szCs w:val="22"/>
          <w:highlight w:val="none"/>
        </w:rPr>
        <w:t>Фролова Светлана Ивановна ИНН 7707083893, счет № 40817810113006824960 в ЦЕНТРАЛЬНО-ЧЕРНОЗЕМНЫЙ БАНК ПАО СБЕРБАНК Г. ВОРОНЕЖ, к/с 30101810600000000681, БИК 042007681.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>специальный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залоговый </w:t>
      </w:r>
      <w:r>
        <w:rPr>
          <w:sz w:val="22"/>
          <w:szCs w:val="22"/>
        </w:rPr>
        <w:t xml:space="preserve">счет </w:t>
      </w:r>
      <w:r>
        <w:rPr>
          <w:b/>
          <w:color w:val="333333"/>
          <w:sz w:val="22"/>
          <w:szCs w:val="22"/>
        </w:rPr>
        <w:t>Фроловой Светланы Ивановны</w:t>
      </w:r>
      <w:r>
        <w:rPr>
          <w:sz w:val="22"/>
          <w:szCs w:val="22"/>
        </w:rPr>
        <w:t xml:space="preserve"> в срок, предусмотренный настоящим договором.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>
        <w:rPr>
          <w:rStyle w:val="FontStyle22"/>
          <w:rFonts w:ascii="Times New Roman" w:cs="Times New Roman" w:hAnsi="Times New Roman"/>
          <w:sz w:val="22"/>
          <w:szCs w:val="22"/>
        </w:rPr>
        <w:t xml:space="preserve">Уплаченный Покупателем задаток в размере </w:t>
      </w:r>
      <w:r>
        <w:rPr>
          <w:rStyle w:val="FontStyle22"/>
          <w:rFonts w:ascii="Times New Roman" w:cs="Times New Roman" w:hAnsi="Times New Roman"/>
          <w:sz w:val="22"/>
          <w:szCs w:val="22"/>
        </w:rPr>
        <w:t>____________</w:t>
      </w:r>
      <w:r>
        <w:rPr>
          <w:rStyle w:val="FontStyle22"/>
          <w:rFonts w:ascii="Times New Roman" w:cs="Times New Roman" w:hAnsi="Times New Roman"/>
          <w:sz w:val="22"/>
          <w:szCs w:val="22"/>
        </w:rPr>
        <w:t xml:space="preserve"> руб. засчитывается в счет </w:t>
      </w:r>
      <w:r>
        <w:rPr>
          <w:rStyle w:val="FontStyle22"/>
          <w:rFonts w:ascii="Times New Roman" w:cs="Times New Roman" w:hAnsi="Times New Roman"/>
          <w:sz w:val="22"/>
          <w:szCs w:val="22"/>
          <w:u w:val="single"/>
        </w:rPr>
        <w:t>частичной</w:t>
      </w:r>
      <w:r>
        <w:rPr>
          <w:rStyle w:val="FontStyle22"/>
          <w:rFonts w:ascii="Times New Roman" w:cs="Times New Roman" w:hAnsi="Times New Roman"/>
          <w:sz w:val="22"/>
          <w:szCs w:val="22"/>
        </w:rPr>
        <w:t xml:space="preserve"> уплаты соответствующей части покупной цены, в связи с чем</w:t>
      </w:r>
      <w:r>
        <w:rPr>
          <w:rStyle w:val="FontStyle22"/>
          <w:rFonts w:ascii="Times New Roman" w:cs="Times New Roman" w:hAnsi="Times New Roman"/>
          <w:sz w:val="22"/>
          <w:szCs w:val="22"/>
        </w:rPr>
        <w:t>,</w:t>
      </w:r>
      <w:r>
        <w:rPr>
          <w:rStyle w:val="FontStyle22"/>
          <w:rFonts w:ascii="Times New Roman" w:cs="Times New Roman" w:hAnsi="Times New Roman"/>
          <w:sz w:val="22"/>
          <w:szCs w:val="22"/>
        </w:rPr>
        <w:t xml:space="preserve"> Покупатель обязан уплатить Продавцу </w:t>
      </w:r>
      <w:r>
        <w:rPr>
          <w:rStyle w:val="FontStyle22"/>
          <w:rFonts w:ascii="Times New Roman" w:cs="Times New Roman" w:hAnsi="Times New Roman"/>
          <w:sz w:val="22"/>
          <w:szCs w:val="22"/>
        </w:rPr>
        <w:t>_</w:t>
      </w:r>
      <w:r>
        <w:rPr>
          <w:rStyle w:val="FontStyle22"/>
          <w:rFonts w:ascii="Times New Roman" w:cs="Times New Roman" w:hAnsi="Times New Roman"/>
          <w:sz w:val="22"/>
          <w:szCs w:val="22"/>
        </w:rPr>
        <w:t>__________________</w:t>
      </w:r>
      <w:r>
        <w:rPr>
          <w:rStyle w:val="FontStyle22"/>
          <w:rFonts w:ascii="Times New Roman" w:cs="Times New Roman" w:hAnsi="Times New Roman"/>
          <w:sz w:val="22"/>
          <w:szCs w:val="22"/>
        </w:rPr>
        <w:t xml:space="preserve"> руб</w:t>
      </w:r>
      <w:r>
        <w:rPr>
          <w:rStyle w:val="FontStyle22"/>
          <w:rFonts w:ascii="Times New Roman" w:cs="Times New Roman" w:hAnsi="Times New Roman"/>
          <w:sz w:val="22"/>
          <w:szCs w:val="22"/>
        </w:rPr>
        <w:t>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сторон.</w:t>
      </w:r>
    </w:p>
    <w:p>
      <w:pPr>
        <w:ind w:left="567" w:firstLine="709"/>
        <w:rPr>
          <w:sz w:val="22"/>
          <w:szCs w:val="22"/>
        </w:rPr>
      </w:pPr>
    </w:p>
    <w:p>
      <w:pPr>
        <w:ind w:left="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не имеет.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Фролова (Мищенко) Светлана Ивановна </w:t>
      </w:r>
      <w:r>
        <w:rPr>
          <w:sz w:val="22"/>
          <w:szCs w:val="22"/>
        </w:rPr>
        <w:t xml:space="preserve">Решением Арбитражного суда </w:t>
      </w:r>
      <w:r>
        <w:rPr>
          <w:sz w:val="22"/>
          <w:szCs w:val="22"/>
        </w:rPr>
        <w:t>Воронежской</w:t>
      </w:r>
      <w:r>
        <w:rPr>
          <w:sz w:val="22"/>
          <w:szCs w:val="22"/>
        </w:rPr>
        <w:t xml:space="preserve"> области от 20.01.2021 года по делу № А14-17746/2020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признан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 несостоятельн</w:t>
      </w:r>
      <w:r>
        <w:rPr>
          <w:sz w:val="22"/>
          <w:szCs w:val="22"/>
        </w:rPr>
        <w:t>ой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банкротом</w:t>
      </w:r>
      <w:r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>лицами не существует каких-либо соглашений на предмет пере</w:t>
      </w:r>
      <w:r>
        <w:rPr>
          <w:sz w:val="22"/>
          <w:szCs w:val="22"/>
        </w:rPr>
        <w:t xml:space="preserve">дачи имущества в собственность </w:t>
      </w:r>
      <w:r>
        <w:rPr>
          <w:sz w:val="22"/>
          <w:szCs w:val="22"/>
        </w:rPr>
        <w:t>или владение/пользование третьим лицам.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передачей имущества </w:t>
      </w:r>
      <w:r>
        <w:rPr>
          <w:bCs/>
          <w:sz w:val="22"/>
          <w:szCs w:val="22"/>
        </w:rPr>
        <w:t>Продавец</w:t>
      </w:r>
      <w:r>
        <w:rPr>
          <w:sz w:val="22"/>
          <w:szCs w:val="22"/>
        </w:rPr>
        <w:t xml:space="preserve"> передает </w:t>
      </w:r>
      <w:r>
        <w:rPr>
          <w:bCs/>
          <w:sz w:val="22"/>
          <w:szCs w:val="22"/>
        </w:rPr>
        <w:t>Покупателю</w:t>
      </w:r>
      <w:r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>
        <w:rPr>
          <w:bCs/>
          <w:sz w:val="22"/>
          <w:szCs w:val="22"/>
        </w:rPr>
        <w:t>Продавца</w:t>
      </w:r>
      <w:r>
        <w:rPr>
          <w:sz w:val="22"/>
          <w:szCs w:val="22"/>
        </w:rPr>
        <w:t xml:space="preserve"> к </w:t>
      </w:r>
      <w:r>
        <w:rPr>
          <w:bCs/>
          <w:sz w:val="22"/>
          <w:szCs w:val="22"/>
        </w:rPr>
        <w:t>Покупателю</w:t>
      </w:r>
      <w:r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>
      <w:pPr>
        <w:ind w:left="567" w:firstLine="709"/>
        <w:jc w:val="both"/>
        <w:rPr>
          <w:sz w:val="22"/>
          <w:szCs w:val="22"/>
        </w:rPr>
      </w:pPr>
    </w:p>
    <w:p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попечитель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блуждения, насилия, обмана, угрозы, злонамеренного соглашения или стечения тяжелых обстоя</w:t>
      </w:r>
      <w:r>
        <w:rPr>
          <w:sz w:val="22"/>
          <w:szCs w:val="22"/>
        </w:rPr>
        <w:softHyphen/>
      </w:r>
      <w:r>
        <w:rPr>
          <w:sz w:val="22"/>
          <w:szCs w:val="22"/>
        </w:rPr>
        <w:t xml:space="preserve">тельств. </w:t>
      </w:r>
    </w:p>
    <w:p>
      <w:pPr>
        <w:pStyle w:val="BodyText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>
      <w:pPr>
        <w:pStyle w:val="BodyText"/>
        <w:ind w:left="567" w:firstLine="709"/>
        <w:jc w:val="center"/>
        <w:rPr>
          <w:b/>
          <w:bCs/>
          <w:sz w:val="22"/>
          <w:szCs w:val="22"/>
        </w:rPr>
      </w:pPr>
    </w:p>
    <w:p>
      <w:pPr>
        <w:pStyle w:val="BodyText"/>
        <w:ind w:left="567" w:firstLine="709"/>
        <w:rPr>
          <w:sz w:val="22"/>
          <w:szCs w:val="22"/>
        </w:rPr>
      </w:pPr>
      <w:r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</w:t>
      </w:r>
      <w:r>
        <w:rPr>
          <w:sz w:val="22"/>
          <w:szCs w:val="22"/>
        </w:rPr>
        <w:t xml:space="preserve">я </w:t>
      </w:r>
      <w:r>
        <w:rPr>
          <w:sz w:val="22"/>
          <w:szCs w:val="22"/>
        </w:rPr>
        <w:t xml:space="preserve">30-дневного срока, отведенного законом для оплаты </w:t>
      </w:r>
      <w:r>
        <w:rPr>
          <w:sz w:val="22"/>
          <w:szCs w:val="22"/>
        </w:rPr>
        <w:t>имущества</w:t>
      </w:r>
      <w:r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>
      <w:pPr>
        <w:pStyle w:val="BodyText"/>
        <w:ind w:left="1276"/>
        <w:rPr>
          <w:b/>
          <w:bCs/>
          <w:sz w:val="22"/>
          <w:szCs w:val="22"/>
        </w:rPr>
      </w:pPr>
    </w:p>
    <w:p>
      <w:pPr>
        <w:pStyle w:val="BodyText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>
      <w:pPr>
        <w:pStyle w:val="BodyText"/>
        <w:ind w:left="567" w:firstLine="709"/>
        <w:rPr>
          <w:b/>
          <w:bCs/>
          <w:sz w:val="22"/>
          <w:szCs w:val="22"/>
        </w:rPr>
      </w:pPr>
    </w:p>
    <w:p>
      <w:pPr>
        <w:pStyle w:val="BodyText"/>
        <w:ind w:left="567" w:firstLine="709"/>
        <w:rPr>
          <w:sz w:val="22"/>
          <w:szCs w:val="22"/>
        </w:rPr>
      </w:pPr>
      <w:r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>
      <w:pPr>
        <w:pStyle w:val="BodyText"/>
        <w:ind w:left="567" w:firstLine="709"/>
        <w:rPr>
          <w:sz w:val="22"/>
          <w:szCs w:val="22"/>
        </w:rPr>
      </w:pPr>
      <w:r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>
      <w:pPr>
        <w:pStyle w:val="BodyText"/>
        <w:ind w:left="567" w:firstLine="709"/>
        <w:rPr>
          <w:sz w:val="22"/>
          <w:szCs w:val="22"/>
        </w:rPr>
      </w:pPr>
    </w:p>
    <w:p>
      <w:pPr>
        <w:ind w:left="567" w:right="-7" w:firstLine="70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экземплярах, каждый из которых</w:t>
      </w:r>
      <w:r>
        <w:rPr>
          <w:sz w:val="22"/>
          <w:szCs w:val="22"/>
        </w:rPr>
        <w:t xml:space="preserve"> имеет равную юридическую силу,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экземпляр для </w:t>
      </w:r>
      <w:r>
        <w:rPr>
          <w:bCs/>
          <w:sz w:val="22"/>
          <w:szCs w:val="22"/>
        </w:rPr>
        <w:t>Про</w:t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t xml:space="preserve">давца, </w:t>
      </w:r>
      <w:r>
        <w:rPr>
          <w:bCs/>
          <w:sz w:val="22"/>
          <w:szCs w:val="22"/>
        </w:rPr>
        <w:t>______</w:t>
      </w:r>
      <w:r>
        <w:rPr>
          <w:bCs/>
          <w:sz w:val="22"/>
          <w:szCs w:val="22"/>
        </w:rPr>
        <w:t xml:space="preserve"> для Покупателя</w:t>
      </w:r>
      <w:r>
        <w:rPr>
          <w:sz w:val="22"/>
          <w:szCs w:val="22"/>
        </w:rPr>
        <w:t>.</w:t>
      </w:r>
    </w:p>
    <w:p>
      <w:pPr>
        <w:ind w:left="567" w:right="-7" w:firstLine="709"/>
        <w:jc w:val="both"/>
        <w:rPr>
          <w:sz w:val="22"/>
          <w:szCs w:val="22"/>
        </w:rPr>
      </w:pPr>
    </w:p>
    <w:p>
      <w:pPr>
        <w:pStyle w:val="BodyText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Реквизиты сторон</w:t>
      </w:r>
    </w:p>
    <w:p>
      <w:pPr>
        <w:pStyle w:val="BodyText"/>
        <w:ind w:left="1636"/>
        <w:rPr>
          <w:b/>
          <w:bCs/>
          <w:sz w:val="22"/>
          <w:szCs w:val="22"/>
        </w:rPr>
      </w:pPr>
    </w:p>
    <w:tbl>
      <w:tblPr>
        <w:tblW w:w="21405" w:type="dxa"/>
        <w:tblInd w:w="108" w:type="dxa"/>
        <w:tblLayout w:type="fixed"/>
        <w:tblLook w:val="0000"/>
      </w:tblPr>
      <w:tblGrid>
        <w:gridCol w:w="5387"/>
        <w:gridCol w:w="5315"/>
        <w:gridCol w:w="4905"/>
        <w:gridCol w:w="5798"/>
      </w:tblGrid>
      <w:tr>
        <w:trPr>
          <w:trHeight w:val="353"/>
        </w:trPr>
        <w:tc>
          <w:tcPr>
            <w:cnfStyle w:val="000010100000"/>
            <w:tcW w:w="5387" w:type="dxa"/>
          </w:tcPr>
          <w:p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Продавец: </w:t>
            </w:r>
          </w:p>
          <w:p>
            <w:pPr>
              <w:pStyle w:val="ConsPlusNonformat"/>
              <w:widowControl w:val="on"/>
              <w:rPr>
                <w:rFonts w:ascii="Times New Roman" w:cs="Times New Roman" w:hAnsi="Times New Roman"/>
                <w:sz w:val="22"/>
                <w:szCs w:val="22"/>
                <w:lang w:eastAsia="ar-SA"/>
              </w:rPr>
            </w:pPr>
          </w:p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</w:rPr>
              <w:t xml:space="preserve">Фролова (Мищенко) Светлана Ивановна </w:t>
            </w:r>
          </w:p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off"/>
                <w:bCs w:val="off"/>
                <w:sz w:val="22"/>
                <w:szCs w:val="22"/>
              </w:rPr>
              <w:t>(14.09.1964 года рождения ,место рождения гор. Воронеж, зарегистрирована по адресу: г.Воронеж, ул. Брянская, д.15а,кв.50, ИНН 366504087350, СНИЛС 045-302-671-25)</w:t>
            </w:r>
          </w:p>
          <w:p>
            <w:pPr>
              <w:pStyle w:val="ConsPlusNonformat"/>
              <w:widowControl w:val="on"/>
              <w:jc w:val="both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/>
                <w:sz w:val="22"/>
                <w:szCs w:val="22"/>
              </w:rPr>
              <w:t xml:space="preserve">в лице финансового управляющего </w:t>
            </w: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  <w:t>Минаева Александра Владимировича</w:t>
            </w:r>
          </w:p>
          <w:p>
            <w:pPr>
              <w:pStyle w:val="ConsPlusNonformat"/>
              <w:widowControl w:val="on"/>
              <w:rPr>
                <w:rFonts w:ascii="Times New Roman" w:cs="Times New Roman" w:hAnsi="Times New Roman"/>
                <w:bCs/>
                <w:sz w:val="22"/>
                <w:szCs w:val="22"/>
              </w:rPr>
            </w:pPr>
          </w:p>
          <w:p>
            <w:pPr>
              <w:pStyle w:val="ConsPlusNonformat"/>
              <w:widowControl w:val="on"/>
              <w:rPr>
                <w:rFonts w:ascii="Times New Roman" w:cs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cs="Times New Roman" w:hAnsi="Times New Roman"/>
                <w:bCs/>
                <w:sz w:val="22"/>
                <w:szCs w:val="22"/>
                <w:highlight w:val="none"/>
              </w:rPr>
              <w:t>Реквизиты для уплаты по договору:</w:t>
            </w:r>
          </w:p>
          <w:p>
            <w:pPr>
              <w:jc w:val="both"/>
              <w:rPr>
                <w:b w:val="off"/>
                <w:bCs w:val="off"/>
                <w:sz w:val="22"/>
                <w:szCs w:val="22"/>
              </w:rPr>
            </w:pPr>
            <w:r>
              <w:rPr>
                <w:b w:val="off"/>
                <w:bCs w:val="off"/>
                <w:sz w:val="22"/>
                <w:szCs w:val="22"/>
              </w:rPr>
              <w:t xml:space="preserve">Фролова Светлана Ивановна </w:t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 w:val="off"/>
                <w:bCs w:val="off"/>
                <w:sz w:val="22"/>
                <w:szCs w:val="22"/>
              </w:rPr>
              <w:t>ИНН 7707083893, счет № 40817810113006824960 в ЦЕНТРАЛЬНО-ЧЕРНОЗЕМНЫЙ БАНК ПАО СБЕРБАНК Г. ВОРОНЕЖ, к/с 30101810600000000681, БИК 042007681.</w:t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Фроловой С.И.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______</w:t>
            </w:r>
            <w:r>
              <w:rPr>
                <w:b/>
                <w:bCs/>
                <w:sz w:val="22"/>
                <w:szCs w:val="22"/>
              </w:rPr>
              <w:t>___</w:t>
            </w:r>
            <w:r>
              <w:rPr>
                <w:b/>
                <w:bCs/>
                <w:sz w:val="22"/>
                <w:szCs w:val="22"/>
              </w:rPr>
              <w:t>_____</w:t>
            </w:r>
            <w:r>
              <w:rPr>
                <w:b/>
                <w:bCs/>
                <w:sz w:val="22"/>
                <w:szCs w:val="22"/>
              </w:rPr>
              <w:t xml:space="preserve"> Минаев А.В.</w:t>
            </w:r>
          </w:p>
          <w:p>
            <w:pPr>
              <w:rPr>
                <w:b/>
                <w:bCs/>
              </w:rPr>
            </w:pPr>
          </w:p>
          <w:p>
            <w:pPr>
              <w:pStyle w:val="BodyText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01100000"/>
            <w:tcW w:w="5315" w:type="dxa"/>
          </w:tcPr>
          <w:p>
            <w:pPr>
              <w:pStyle w:val="NoSpacing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>
            <w:pPr>
              <w:pStyle w:val="NoSpacing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</w:t>
            </w:r>
          </w:p>
          <w:p>
            <w:pPr>
              <w:pStyle w:val="NoSpacing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>
            <w:pPr>
              <w:pStyle w:val="NoSpacing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>
            <w:pPr>
              <w:pStyle w:val="BodyText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>
            <w:pPr>
              <w:pStyle w:val="BodyText"/>
              <w:rPr>
                <w:sz w:val="22"/>
                <w:szCs w:val="22"/>
              </w:rPr>
            </w:pPr>
          </w:p>
          <w:p>
            <w:pPr>
              <w:pStyle w:val="BodyText"/>
              <w:ind w:left="567"/>
              <w:rPr>
                <w:sz w:val="22"/>
                <w:szCs w:val="22"/>
              </w:rPr>
            </w:pPr>
          </w:p>
          <w:p>
            <w:pPr>
              <w:pStyle w:val="BodyText"/>
              <w:rPr>
                <w:sz w:val="22"/>
                <w:szCs w:val="22"/>
              </w:rPr>
            </w:pPr>
          </w:p>
          <w:p>
            <w:pPr>
              <w:pStyle w:val="BodyText"/>
              <w:ind w:left="567"/>
              <w:rPr>
                <w:sz w:val="22"/>
                <w:szCs w:val="22"/>
              </w:rPr>
            </w:pPr>
          </w:p>
          <w:p>
            <w:pPr>
              <w:pStyle w:val="BodyText"/>
              <w:ind w:left="567"/>
              <w:rPr>
                <w:sz w:val="22"/>
                <w:szCs w:val="22"/>
              </w:rPr>
            </w:pPr>
          </w:p>
          <w:p>
            <w:pPr>
              <w:pStyle w:val="BodyText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cnfStyle w:val="000010100000"/>
            <w:tcW w:w="4905" w:type="dxa"/>
          </w:tcPr>
          <w:p>
            <w:pPr>
              <w:pStyle w:val="Heading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cnfStyle w:val="000001100000"/>
            <w:tcW w:w="5798" w:type="dxa"/>
          </w:tcPr>
          <w:p>
            <w:pPr>
              <w:pStyle w:val="Heading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>
      <w:pPr>
        <w:ind w:left="567" w:firstLine="709"/>
        <w:contextualSpacing w:val="on"/>
        <w:jc w:val="center"/>
        <w:rPr>
          <w:b/>
          <w:sz w:val="22"/>
          <w:szCs w:val="22"/>
        </w:rPr>
      </w:pPr>
    </w:p>
    <w:p>
      <w:pPr>
        <w:ind w:left="567" w:firstLine="709"/>
        <w:rPr>
          <w:sz w:val="22"/>
          <w:szCs w:val="22"/>
        </w:rPr>
      </w:pPr>
    </w:p>
    <w:sectPr>
      <w:headerReference w:type="default" r:id="rId11"/>
      <w:pgSz w:w="11905" w:h="16837"/>
      <w:pgMar w:top="426" w:right="706" w:bottom="1276" w:left="709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Header"/>
      <w:jc w:val="cent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1"/>
      <w:numFmt w:val="lowerLetter"/>
      <w:lvlText w:val="%5."/>
      <w:lvlJc w:val="left"/>
      <w:pPr>
        <w:ind w:left="4516" w:hanging="360"/>
      </w:pPr>
    </w:lvl>
    <w:lvl w:ilvl="5" w:tentative="1">
      <w:start w:val="1"/>
      <w:numFmt w:val="lowerRoman"/>
      <w:lvlText w:val="%6."/>
      <w:lvlJc w:val="right"/>
      <w:pPr>
        <w:ind w:left="5236" w:hanging="180"/>
      </w:p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multiLevelType w:val="hybridMultilevel"/>
    <w:lvl w:ilvl="0" w:tentative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1"/>
      <w:numFmt w:val="lowerLetter"/>
      <w:lvlText w:val="%5."/>
      <w:lvlJc w:val="left"/>
      <w:pPr>
        <w:ind w:left="4516" w:hanging="360"/>
      </w:pPr>
    </w:lvl>
    <w:lvl w:ilvl="5" w:tentative="1">
      <w:start w:val="1"/>
      <w:numFmt w:val="lowerRoman"/>
      <w:lvlText w:val="%6."/>
      <w:lvlJc w:val="right"/>
      <w:pPr>
        <w:ind w:left="5236" w:hanging="180"/>
      </w:p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E2"/>
    <w:rsid w:val="00050389"/>
    <w:rsid w:val="00066113"/>
    <w:rsid w:val="000B3928"/>
    <w:rsid w:val="000C27A0"/>
    <w:rsid w:val="000C6A28"/>
    <w:rsid w:val="00133A31"/>
    <w:rsid w:val="00136378"/>
    <w:rsid w:val="00136C21"/>
    <w:rsid w:val="00151869"/>
    <w:rsid w:val="001573A7"/>
    <w:rsid w:val="001638CA"/>
    <w:rsid w:val="00191AC4"/>
    <w:rsid w:val="001A6030"/>
    <w:rsid w:val="001B4DFE"/>
    <w:rsid w:val="001F09E3"/>
    <w:rsid w:val="00206114"/>
    <w:rsid w:val="002629F7"/>
    <w:rsid w:val="002E726F"/>
    <w:rsid w:val="002F1BB1"/>
    <w:rsid w:val="00315AEA"/>
    <w:rsid w:val="003643FB"/>
    <w:rsid w:val="00380570"/>
    <w:rsid w:val="00390477"/>
    <w:rsid w:val="00396AAB"/>
    <w:rsid w:val="00397BDD"/>
    <w:rsid w:val="003A02D6"/>
    <w:rsid w:val="004224BC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C60DC"/>
    <w:rsid w:val="007D70DD"/>
    <w:rsid w:val="007E21D6"/>
    <w:rsid w:val="007F11E0"/>
    <w:rsid w:val="0084687B"/>
    <w:rsid w:val="008A03C2"/>
    <w:rsid w:val="008B1BB4"/>
    <w:rsid w:val="009216C6"/>
    <w:rsid w:val="00996BBB"/>
    <w:rsid w:val="00AC1989"/>
    <w:rsid w:val="00AF57D5"/>
    <w:rsid w:val="00B12D07"/>
    <w:rsid w:val="00B3527B"/>
    <w:rsid w:val="00B75006"/>
    <w:rsid w:val="00B81BDD"/>
    <w:rsid w:val="00BF1C84"/>
    <w:rsid w:val="00C22E60"/>
    <w:rsid w:val="00C40160"/>
    <w:rsid w:val="00C94C59"/>
    <w:rsid w:val="00CE0617"/>
    <w:rsid w:val="00D205BD"/>
    <w:rsid w:val="00D223F9"/>
    <w:rsid w:val="00D75D60"/>
    <w:rsid w:val="00DE15A6"/>
    <w:rsid w:val="00E346DD"/>
    <w:rsid w:val="00E42081"/>
    <w:rsid w:val="00E516E2"/>
    <w:rsid w:val="00EA51FB"/>
    <w:rsid w:val="00ED4E68"/>
    <w:rsid w:val="00F0669F"/>
    <w:rsid w:val="00F15E4C"/>
    <w:rsid w:val="00F37BDD"/>
    <w:rsid w:val="00F45DD1"/>
    <w:rsid w:val="00F5620C"/>
    <w:rsid w:val="00F7018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79F9"/>
  <w15:docId w15:val="{79C93325-6D16-472A-B102-4BC9891FCCAE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Заголовок2Знак"/>
    <w:uiPriority w:val="99"/>
    <w:qFormat w:val="on"/>
    <w:pPr>
      <w:keepNext w:val="on"/>
      <w:spacing w:before="240" w:after="60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pPr>
      <w:ind w:right="-7"/>
      <w:jc w:val="both"/>
    </w:pPr>
    <w:rPr>
      <w:sz w:val="20"/>
      <w:szCs w:val="20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customStyle="1" w:styleId="FontStyle22">
    <w:name w:val="Font Style22"/>
    <w:basedOn w:val="DefaultParagraphFont"/>
    <w:uiPriority w:val="99"/>
    <w:rPr>
      <w:rFonts w:ascii="Trebuchet MS" w:cs="Trebuchet MS" w:hAnsi="Trebuchet MS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rebuchet MS" w:cs="Trebuchet MS" w:hAnsi="Trebuchet MS"/>
      <w:sz w:val="20"/>
      <w:szCs w:val="20"/>
    </w:rPr>
  </w:style>
  <w:style w:type="paragraph" w:styleId="NoSpacing">
    <w:name w:val="No Spacing"/>
    <w:link w:val="БезинтервалаЗнак"/>
    <w:uiPriority w:val="1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customStyle="1" w:styleId="БезинтервалаЗнак">
    <w:name w:val="Без интервала Знак"/>
    <w:basedOn w:val="DefaultParagraphFont"/>
    <w:link w:val="NoSpacing"/>
    <w:uiPriority w:val="1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off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ar-SA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Безинтервала1">
    <w:name w:val="Без интервала1"/>
    <w:uiPriority w:val="99"/>
    <w:pPr>
      <w:spacing w:after="0" w:line="240" w:lineRule="auto"/>
    </w:pPr>
    <w:rPr>
      <w:rFonts w:ascii="Calibri" w:cs="Times New Roman" w:eastAsia="Times New Roman" w:hAnsi="Calibri"/>
    </w:rPr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customStyle="1" w:styleId="Заголовок2Знак">
    <w:name w:val="Заголовок 2 Знак"/>
    <w:basedOn w:val="DefaultParagraphFont"/>
    <w:link w:val="Heading2"/>
    <w:uiPriority w:val="99"/>
    <w:rPr>
      <w:rFonts w:ascii="Arial" w:cs="Times New Roman" w:eastAsia="Times New Roman" w:hAnsi="Arial"/>
      <w:b/>
      <w:bCs/>
      <w:i/>
      <w:iCs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header" Target="header1.xml"/><Relationship Id="rId11" Type="http://schemas.openxmlformats.org/officeDocument/2006/relationships/header" Target="head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Author</cp:lastModifiedBy>
</cp:coreProperties>
</file>