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«ОДИНЦОВСКАЯ СТРОИТЕЛЬНАЯ КОМПАНИЯ» (ОГРН: 1145032005095, ИНН: 5032280744) задолженности в размере 8 870 177 руб. 80 коп., проценты за пользование чужими денежными средствами в размере 734 192 руб. 00 коп., расходы по оплате государственной пошлины в размере 71 021 руб. 85 коп., процентов за пользование чужими денежными средствами за период с 01.09.2019 по 31.03.2022 в размере 1 444 778 руб. 47 коп.; 
проценты за пользование чужими денежными средствами за период с 02.10.2022 по 07.11.2022 в размере 67 977 руб. 61 коп., проценты начисленные на сумму задолженности 8 941 199 руб. 65 коп. за период с 08.11.2022 по день фактической уплаты.
Решение АСМО от 30.01.2020 по делу № А41-89571/2019.
Решение АСМО от 15.08.2022г.  по делу № А41-8538/22.
Решение АСМО от 06.03.2023г.  по делу № А41-91437/22..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11 188 148.00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