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6983–ОАЗФ/2/11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Права требования в размере:  2 186 760,00 руб. к ООО "ГарантТорг" (ИНН:6685184011), 6 970 000,00 руб. к ООО "КРИСТАЛЛ ПЛЮС" (ИНН:6658527171), 200 000,00 руб. к ООО "УРАЛСТРОЙЭНЕРГО" (ИНН: 7422027564), 4 054 355,92 руб. к ООО "Электроуралналадка" (ИНН:6662117700), 180 000,00 руб. к ООО "КарталГрупп" (ИНН: 1656100603), 104 246,00 руб. к ООО "Клуб Путешествий"Крылья" (ИНН:6672148111), 1 625 492,90 руб. к АО "ОКБМ Африкантов" (ИНН: 5259077666), 1 004 448,44 руб. к ПАО "Метафракс Кемикалс" (ИНН: 5913001268).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14 692 772.93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