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6983–ОАЗФ/2/10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Права требования в размере: 5 061 040,00 руб. к ООО "Вектор" (ИНН: 6682018471), 3 673 051,83 руб. к ООО "Белоярская Уралэнергостроймеханизация" (ИНН: 6609010133), 42 553 041,29 руб. к ООО "РН-Ванкор" (ИНН: 2465142996), 27 823,40 руб. к ООО "Регион-Пресс" (ИНН:2130087662), 3 975,00 руб. к ООО "ТитанСофт Центр" (ИНН:6670216133), 130 000,00 руб. к ООО "ПРОМИТЭЛЬ" (ИНН:6685184928), 6 716 150,13 руб. к ООО "Электросети БН-800" (ИНН: 6639018690).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52 348 573.49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А60-32807/2020.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Свердловской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«УК «УЭС».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«19» апреля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