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6983–ОАЗФ/1/11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апреля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Права требования в размере:  2 186 760,00 руб. к ООО "ГарантТорг" (ИНН:6685184011), 6 970 000,00 руб. к ООО "КРИСТАЛЛ ПЛЮС" (ИНН:6658527171), 200 000,00 руб. к ООО "УРАЛСТРОЙЭНЕРГО" (ИНН: 7422027564), 4 054 355,92 руб. к ООО "Электроуралналадка" (ИНН:6662117700), 180 000,00 руб. к ООО "КарталГрупп" (ИНН: 1656100603), 104 246,00 руб. к ООО "Клуб Путешествий"Крылья" (ИНН:6672148111), 1 625 492,90 руб. к АО "ОКБМ Африкантов" (ИНН: 5259077666), 1 004 448,44 руб. к ПАО "Метафракс Кемикалс" (ИНН: 5913001268).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14 692 772.93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А60-32807/2020.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«УК «УЭС».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«17» апреля 2023г.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