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6983–ОАЗФ/1/10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Права требования в размере: 5 061 040,00 руб. к ООО "Вектор" (ИНН: 6682018471), 3 673 051,83 руб. к ООО "Белоярская Уралэнергостроймеханизация" (ИНН: 6609010133), 42 553 041,29 руб. к ООО "РН-Ванкор" (ИНН: 2465142996), 27 823,40 руб. к ООО "Регион-Пресс" (ИНН:2130087662), 3 975,00 руб. к ООО "ТитанСофт Центр" (ИНН:6670216133), 130 000,00 руб. к ООО "ПРОМИТЭЛЬ" (ИНН:6685184928), 6 716 150,13 руб. к ООО "Электросети БН-800" (ИНН: 6639018690).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52 348 573.49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А60-32807/2020.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«УК «УЭС».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