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6946–ОАЗФ/1/1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"Вагон";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(дебиторская задолженность) АО «Вагон» к: ОАО БЕЛАЗ - роялти за I кв. 2022 г., ООО «Гертек-Сервис» на текущую сумму 21 437 992,68 руб. и будущее право требования, ООО «КАВАЗ» на сумму 6 506 254,79 руб..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6 526 086.79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А79-9591/2019.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Чувашской Республики-Чувашии.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АО "Вагон".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Павликов Сергей Владимрович.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"Финпром-Ресурс".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«06» марта 2023г. 09:00:00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«11» апреля 2023г. 17:00:00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апреля 2023 года, время:  13:24:48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"Т-Капитал"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ОГРН:1104823014020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апреля 2023 года, время:  13:24:48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"Т-Капитал"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ОГРН:1104823014020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"Финпром-Ресурс")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КУРЗАНОВА АЛИНА ВАДИМОВНА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