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6874–ОАЗФ/1/1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"ККУ";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Концерн «Тракторные заводы»; Неисключительные права на программный продукт:Лицензии на ПО для серверов и ПЭВМ (Microsoft) (11553 ед.), Лицензии COGNOS BI (IBM) (112 ед.), СЭД и автоматизации бизнес-процессов CompanyMedia (389 ед.), ПО LOTUS Domino (IBM) (408 ед.), ПО LOTUS Domino (IBM) (1090 ед.), 1С:Зарплата и управление персоналом, 1С: Бухгалтерия 8 ПРОФ, 1С: Предприятие. Клиентские лицензии (11 ед.), 1С: Предприятие. Клиентские лицензии (25 ед.); Привилегированные именные акции типа «А» Эмитент ОАО «Промтрактор» (588 ед.); Обыкновенные именные акции Эмитент ОАО «Промтрактор» (156 ед.)..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73 092.00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А79-12535/2017.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Чувашской Республики – Чувашии.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"Компания корпоративного управления".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17:00:00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11:42:07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"Отраслевая инфраструктурная компания"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ОГРН:1212100007019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11:42:07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"Отраслевая инфраструктурная компания"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ОГРН:1212100007019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(Курдышева Ирина Владимировна)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Курдышева Ирина Владимировна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