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6812–ОАОФ/1/6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6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6</w:t>
      </w:r>
      <w:r w:rsidRPr="006B714B">
        <w:rPr>
          <w:rFonts w:eastAsia="Times New Roman"/>
          <w:lang w:val="en-US"/>
        </w:rPr>
        <w:t>: Единый объект недвижимости в составе прав на нежилое здание пункт санобработки (баня) 179,9 кв.м, инвентарный №294, земельный участок 401 кв.м, (вид разрешенного использования: для размещения здания бани), кадастровый №67:27:0011028:002, расположенный по адресу: Смоленская область, г. Смоленск,пос. Красный Бор.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1 937 984.00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А62-3028/2020.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"79 ЦИБ".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