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494D80EA" w:rsidR="00395672" w:rsidRPr="002127D2" w:rsidRDefault="00395672" w:rsidP="00395672">
      <w:pPr>
        <w:spacing w:line="228" w:lineRule="auto"/>
        <w:ind w:firstLine="708"/>
        <w:jc w:val="both"/>
        <w:rPr>
          <w:sz w:val="22"/>
          <w:szCs w:val="22"/>
          <w:lang w:eastAsia="ru-RU"/>
        </w:rPr>
      </w:pPr>
      <w:r w:rsidRPr="002127D2">
        <w:rPr>
          <w:b/>
          <w:bCs/>
          <w:sz w:val="22"/>
          <w:szCs w:val="22"/>
          <w:lang w:eastAsia="ru-RU"/>
        </w:rPr>
        <w:t xml:space="preserve">ООО «УК «УЭС» </w:t>
      </w:r>
      <w:r w:rsidRPr="002127D2">
        <w:rPr>
          <w:sz w:val="22"/>
          <w:szCs w:val="22"/>
          <w:lang w:eastAsia="ru-RU"/>
        </w:rPr>
        <w:t xml:space="preserve">(ОГРН 1036603504002, ИНН 6670026460, юр. адрес: 620062, Свердловская область, г. Екатеринбург, Проспект Ленина, </w:t>
      </w:r>
      <w:r w:rsidR="004B29C0" w:rsidRPr="002127D2">
        <w:rPr>
          <w:sz w:val="22"/>
          <w:szCs w:val="22"/>
          <w:lang w:eastAsia="ru-RU"/>
        </w:rPr>
        <w:t xml:space="preserve">д. </w:t>
      </w:r>
      <w:r w:rsidRPr="002127D2">
        <w:rPr>
          <w:sz w:val="22"/>
          <w:szCs w:val="22"/>
          <w:lang w:eastAsia="ru-RU"/>
        </w:rPr>
        <w:t>97</w:t>
      </w:r>
      <w:r w:rsidR="004B29C0" w:rsidRPr="002127D2">
        <w:rPr>
          <w:sz w:val="22"/>
          <w:szCs w:val="22"/>
          <w:lang w:eastAsia="ru-RU"/>
        </w:rPr>
        <w:t xml:space="preserve">, к. </w:t>
      </w:r>
      <w:r w:rsidRPr="002127D2">
        <w:rPr>
          <w:sz w:val="22"/>
          <w:szCs w:val="22"/>
          <w:lang w:eastAsia="ru-RU"/>
        </w:rPr>
        <w:t>А),</w:t>
      </w:r>
      <w:r w:rsidRPr="002127D2">
        <w:rPr>
          <w:bCs/>
          <w:sz w:val="22"/>
          <w:szCs w:val="22"/>
          <w:lang w:eastAsia="ru-RU"/>
        </w:rPr>
        <w:t xml:space="preserve"> конкурсное производство открыто Решением Арбитражного суда Свердловской области по делу № А60-32807/2020 от 13.08.2021 г. (резолютивная часть от 06.08.2021 г.), в лице конкурсного управляющего Богданова Сергея Анатольевича</w:t>
      </w:r>
      <w:r w:rsidRPr="002127D2">
        <w:rPr>
          <w:sz w:val="22"/>
          <w:szCs w:val="22"/>
          <w:lang w:eastAsia="ru-RU"/>
        </w:rPr>
        <w:t xml:space="preserve">, действующего на основании </w:t>
      </w:r>
      <w:r w:rsidR="004B25C7" w:rsidRPr="002127D2">
        <w:rPr>
          <w:sz w:val="22"/>
          <w:szCs w:val="22"/>
          <w:lang w:eastAsia="ru-RU"/>
        </w:rPr>
        <w:t>Определения</w:t>
      </w:r>
      <w:r w:rsidR="004B29C0" w:rsidRPr="002127D2">
        <w:rPr>
          <w:sz w:val="22"/>
          <w:szCs w:val="22"/>
          <w:lang w:eastAsia="ru-RU"/>
        </w:rPr>
        <w:t xml:space="preserve"> </w:t>
      </w:r>
      <w:r w:rsidR="004B25C7" w:rsidRPr="002127D2">
        <w:rPr>
          <w:sz w:val="22"/>
          <w:szCs w:val="22"/>
          <w:lang w:eastAsia="ru-RU"/>
        </w:rPr>
        <w:t>А</w:t>
      </w:r>
      <w:r w:rsidR="004B29C0" w:rsidRPr="002127D2">
        <w:rPr>
          <w:sz w:val="22"/>
          <w:szCs w:val="22"/>
          <w:lang w:eastAsia="ru-RU"/>
        </w:rPr>
        <w:t>рбитражного суда Свердловской области от 15.10.2021 г. (резолютивная часть от 08.10.2021 г.) по делу № А60-32807/2020</w:t>
      </w:r>
      <w:r w:rsidRPr="002127D2">
        <w:rPr>
          <w:sz w:val="22"/>
          <w:szCs w:val="22"/>
          <w:lang w:eastAsia="ru-RU"/>
        </w:rPr>
        <w:t xml:space="preserve">), именуемое в дальнейшем </w:t>
      </w:r>
      <w:r w:rsidRPr="002127D2">
        <w:rPr>
          <w:b/>
          <w:sz w:val="22"/>
          <w:szCs w:val="22"/>
          <w:lang w:eastAsia="ru-RU"/>
        </w:rPr>
        <w:t>«</w:t>
      </w:r>
      <w:r w:rsidR="00B53826" w:rsidRPr="002127D2">
        <w:rPr>
          <w:b/>
          <w:sz w:val="22"/>
          <w:szCs w:val="22"/>
          <w:lang w:eastAsia="ru-RU"/>
        </w:rPr>
        <w:t>Цедент</w:t>
      </w:r>
      <w:r w:rsidRPr="002127D2">
        <w:rPr>
          <w:b/>
          <w:sz w:val="22"/>
          <w:szCs w:val="22"/>
          <w:lang w:eastAsia="ru-RU"/>
        </w:rPr>
        <w:t>»</w:t>
      </w:r>
      <w:r w:rsidRPr="002127D2">
        <w:rPr>
          <w:sz w:val="22"/>
          <w:szCs w:val="22"/>
          <w:lang w:eastAsia="ru-RU"/>
        </w:rPr>
        <w:t xml:space="preserve"> с одной стороны, и </w:t>
      </w:r>
      <w:r w:rsidRPr="002127D2">
        <w:rPr>
          <w:bCs/>
          <w:sz w:val="22"/>
          <w:szCs w:val="22"/>
          <w:lang w:eastAsia="ru-RU"/>
        </w:rPr>
        <w:t xml:space="preserve"> </w:t>
      </w:r>
      <w:r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1AA64DDE" w:rsidR="00FE65BF" w:rsidRPr="002127D2" w:rsidRDefault="00FE65BF" w:rsidP="00B53826">
      <w:pPr>
        <w:numPr>
          <w:ilvl w:val="2"/>
          <w:numId w:val="1"/>
        </w:numPr>
        <w:tabs>
          <w:tab w:val="clear" w:pos="737"/>
          <w:tab w:val="num" w:pos="709"/>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395672" w:rsidRPr="002127D2">
        <w:rPr>
          <w:sz w:val="22"/>
          <w:szCs w:val="22"/>
        </w:rPr>
        <w:t>ООО «УК «УЭС» (ОГРН 1036603504002, ИНН 6670026460, юр. адрес: 620062, Свердловская область, г. Екат</w:t>
      </w:r>
      <w:r w:rsidR="004B25C7" w:rsidRPr="002127D2">
        <w:rPr>
          <w:sz w:val="22"/>
          <w:szCs w:val="22"/>
        </w:rPr>
        <w:t xml:space="preserve">еринбург, Проспект Ленина, д. 97, к. </w:t>
      </w:r>
      <w:r w:rsidR="00395672" w:rsidRPr="002127D2">
        <w:rPr>
          <w:sz w:val="22"/>
          <w:szCs w:val="22"/>
        </w:rPr>
        <w:t>А)</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течение </w:t>
      </w:r>
      <w:r w:rsidRPr="00B0512C">
        <w:rPr>
          <w:sz w:val="22"/>
          <w:szCs w:val="22"/>
          <w:highlight w:val="yellow"/>
        </w:rPr>
        <w:t>20 (двадцати)</w:t>
      </w:r>
      <w:r w:rsidRPr="002127D2">
        <w:rPr>
          <w:sz w:val="22"/>
          <w:szCs w:val="22"/>
        </w:rPr>
        <w:t xml:space="preserve"> рабочих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61980FC0" w14:textId="395DCCE5" w:rsidR="00395672" w:rsidRPr="00395672" w:rsidRDefault="00395672" w:rsidP="00395672">
            <w:pPr>
              <w:rPr>
                <w:b/>
                <w:sz w:val="20"/>
                <w:szCs w:val="20"/>
              </w:rPr>
            </w:pPr>
            <w:r w:rsidRPr="00395672">
              <w:rPr>
                <w:b/>
                <w:sz w:val="20"/>
                <w:szCs w:val="20"/>
              </w:rPr>
              <w:t>ООО «УК «УЭС»</w:t>
            </w:r>
          </w:p>
          <w:p w14:paraId="5E8A42AF" w14:textId="77777777" w:rsidR="00395672" w:rsidRPr="00395672" w:rsidRDefault="00395672" w:rsidP="00395672">
            <w:pPr>
              <w:rPr>
                <w:sz w:val="20"/>
                <w:szCs w:val="20"/>
              </w:rPr>
            </w:pPr>
          </w:p>
          <w:p w14:paraId="21A115E3" w14:textId="77777777" w:rsidR="00395672" w:rsidRPr="00395672" w:rsidRDefault="00395672" w:rsidP="00395672">
            <w:pPr>
              <w:rPr>
                <w:sz w:val="20"/>
                <w:szCs w:val="20"/>
              </w:rPr>
            </w:pPr>
            <w:r w:rsidRPr="00395672">
              <w:rPr>
                <w:sz w:val="20"/>
                <w:szCs w:val="20"/>
              </w:rPr>
              <w:t>ОГРН 1036603504002</w:t>
            </w:r>
          </w:p>
          <w:p w14:paraId="3BD176D6" w14:textId="77777777" w:rsidR="00395672" w:rsidRPr="00395672" w:rsidRDefault="00395672" w:rsidP="00395672">
            <w:pPr>
              <w:rPr>
                <w:sz w:val="20"/>
                <w:szCs w:val="20"/>
              </w:rPr>
            </w:pPr>
            <w:r w:rsidRPr="00395672">
              <w:rPr>
                <w:sz w:val="20"/>
                <w:szCs w:val="20"/>
              </w:rPr>
              <w:t>ИНН 6670026460, КПП 667001001</w:t>
            </w:r>
          </w:p>
          <w:p w14:paraId="6DC8D39E" w14:textId="77777777" w:rsidR="00395672" w:rsidRPr="00395672" w:rsidRDefault="00395672" w:rsidP="00395672">
            <w:pPr>
              <w:rPr>
                <w:sz w:val="20"/>
                <w:szCs w:val="20"/>
              </w:rPr>
            </w:pPr>
            <w:r w:rsidRPr="00395672">
              <w:rPr>
                <w:sz w:val="20"/>
                <w:szCs w:val="20"/>
              </w:rPr>
              <w:t xml:space="preserve">Юр. адрес: 620062, Свердловская область, г. Екатеринбург, Проспект Ленина, 97А </w:t>
            </w:r>
          </w:p>
          <w:p w14:paraId="4C6B5978" w14:textId="77777777" w:rsidR="00395672" w:rsidRPr="00395672" w:rsidRDefault="00395672" w:rsidP="00395672">
            <w:pPr>
              <w:rPr>
                <w:sz w:val="20"/>
                <w:szCs w:val="20"/>
              </w:rPr>
            </w:pPr>
            <w:r w:rsidRPr="00395672">
              <w:rPr>
                <w:sz w:val="20"/>
                <w:szCs w:val="20"/>
              </w:rPr>
              <w:t xml:space="preserve">Р/с 40702810600770003889 </w:t>
            </w:r>
          </w:p>
          <w:p w14:paraId="4D544136" w14:textId="77777777" w:rsidR="00395672" w:rsidRPr="00395672" w:rsidRDefault="00395672" w:rsidP="00395672">
            <w:pPr>
              <w:rPr>
                <w:sz w:val="20"/>
                <w:szCs w:val="20"/>
              </w:rPr>
            </w:pPr>
            <w:r w:rsidRPr="00395672">
              <w:rPr>
                <w:sz w:val="20"/>
                <w:szCs w:val="20"/>
              </w:rPr>
              <w:t>В ПАО «Банк Уралсиб»</w:t>
            </w:r>
          </w:p>
          <w:p w14:paraId="34568EAF" w14:textId="77777777" w:rsidR="00395672" w:rsidRPr="00395672" w:rsidRDefault="00395672" w:rsidP="00395672">
            <w:pPr>
              <w:rPr>
                <w:sz w:val="20"/>
                <w:szCs w:val="20"/>
              </w:rPr>
            </w:pPr>
            <w:r w:rsidRPr="00395672">
              <w:rPr>
                <w:sz w:val="20"/>
                <w:szCs w:val="20"/>
              </w:rPr>
              <w:t>К/с 30101810100000000787</w:t>
            </w:r>
          </w:p>
          <w:p w14:paraId="39D8E798" w14:textId="77777777" w:rsidR="00431441" w:rsidRDefault="00395672" w:rsidP="00395672">
            <w:pPr>
              <w:rPr>
                <w:sz w:val="20"/>
                <w:szCs w:val="20"/>
              </w:rPr>
            </w:pPr>
            <w:r w:rsidRPr="00395672">
              <w:rPr>
                <w:sz w:val="20"/>
                <w:szCs w:val="20"/>
              </w:rPr>
              <w:t>БИК 044525787</w:t>
            </w:r>
            <w:bookmarkStart w:id="0" w:name="_GoBack"/>
            <w:bookmarkEnd w:id="0"/>
          </w:p>
          <w:p w14:paraId="39891F2F" w14:textId="04472EBE" w:rsidR="00395672" w:rsidRPr="00097C04" w:rsidRDefault="00395672" w:rsidP="00395672">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47A0D10" w:rsidR="00431441" w:rsidRPr="00097C04" w:rsidRDefault="00431441" w:rsidP="00892298">
            <w:pPr>
              <w:rPr>
                <w:b/>
                <w:sz w:val="20"/>
                <w:szCs w:val="20"/>
              </w:rPr>
            </w:pPr>
            <w:r w:rsidRPr="00097C04">
              <w:rPr>
                <w:b/>
                <w:sz w:val="20"/>
                <w:szCs w:val="20"/>
              </w:rPr>
              <w:t>_____________________/</w:t>
            </w:r>
            <w:r w:rsidR="00395672">
              <w:rPr>
                <w:b/>
                <w:sz w:val="20"/>
                <w:szCs w:val="20"/>
              </w:rPr>
              <w:t>Богданов С.А.</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2B2036B4"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B0512C">
      <w:rPr>
        <w:rStyle w:val="a5"/>
        <w:noProof/>
      </w:rPr>
      <w:t>3</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5165D9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95672">
      <w:rPr>
        <w:lang w:val="ru-RU"/>
      </w:rPr>
      <w:t>Богданов С.А.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2616</Words>
  <Characters>14916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9</cp:revision>
  <dcterms:created xsi:type="dcterms:W3CDTF">2021-10-14T12:28:00Z</dcterms:created>
  <dcterms:modified xsi:type="dcterms:W3CDTF">2023-03-10T09:52:00Z</dcterms:modified>
</cp:coreProperties>
</file>