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6778–ОАЗФ/1/10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Права требования в размере: 5 061 040,00 руб. к ООО "Вектор" (ИНН: 6682018471), 3 673 051,83 руб. к ООО "Белоярская Уралэнергостроймеханизация" (ИНН: 6609010133), 42 553 041,29 руб. к ООО "РН-Ванкор" (ИНН: 2465142996), 27 823,40 руб. к ООО "Регион-Пресс" (ИНН:2130087662), 3 975,00 руб. к ООО "ТитанСофт Центр" (ИНН:6670216133), 130 000,00 руб. к ООО "ПРОМИТЭЛЬ" (ИНН:6685184928), 6 716 150,13 руб. к ООО "Электросети БН-800" (ИНН: 6639018690).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58 165 081.65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«01»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