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Кудряшов Андрей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марка Mitsubishi Outlander, 2015 г. выпуска, двигатель № 4В11 PQ8540, шасси № отсутствует, кузов № Z8TXTGFWGM004727, цвет белый, VIN  Z8TXTGFWGM004727, номерной знак В946УР 196,..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А60-35273/2022.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Кудряшов Андрей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Шабунина Екатерина Ярославна.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10:12:29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Федоров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ИНН:450108902448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11:03:26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Коськова Мария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ИНН:450117068363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12:11:38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Шамшутдинов Наиль Ибрагимович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ИНН:631201419600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11:12:38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Шайхутдинов Айдар Фаритович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ОГРНИП:319169000123449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13:03:20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Истомин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ИНН:665201344975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13:42:56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троянов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ИНН:583712041670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15:54:24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16:55:11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Селянина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ОГРНИП:321169000028403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17:10:30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Сергей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ИНН:632208499645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17:10:30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Волков Сергей Валериевич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ИНН:632208499645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16:55:11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Селянина Елена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ОГРНИП:321169000028403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15:54:24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Решетникова Наталья Вениаминовна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ИНН:590699250289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13:42:56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троянов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ИНН:583712041670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13:03:20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Истомин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ИНН:665201344975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11:12:38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Шайхутдинов Айдар Фаритович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ОГРНИП:319169000123449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12:11:38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Шамшутдинов Наиль Ибрагимович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ИНН:631201419600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11:03:26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Коськова Мария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ИНН:450117068363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10:12:29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Федоров Вячеслав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ИНН:450108902448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(Шабунина Екатерина Ярославна)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Шабунина Екатерина Ярославна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