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60"/>
        <w:ind w:hanging="0"/>
        <w:jc w:val="both"/>
        <w:rPr>
          <w:sz w:val="26"/>
          <w:szCs w:val="26"/>
        </w:rPr>
      </w:pPr>
      <w:r>
        <w:rPr>
          <w:sz w:val="26"/>
          <w:szCs w:val="26"/>
        </w:rPr>
        <w:drawing>
          <wp:anchor behindDoc="1" distT="0" distB="0" distL="0" distR="0" simplePos="0" locked="0" layoutInCell="1" allowOverlap="1" relativeHeight="4">
            <wp:simplePos x="0" y="0"/>
            <wp:positionH relativeFrom="column">
              <wp:posOffset>1266190</wp:posOffset>
            </wp:positionH>
            <wp:positionV relativeFrom="page">
              <wp:posOffset>777875</wp:posOffset>
            </wp:positionV>
            <wp:extent cx="3028315" cy="509905"/>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3028315" cy="509905"/>
                    </a:xfrm>
                    <a:prstGeom prst="rect">
                      <a:avLst/>
                    </a:prstGeom>
                  </pic:spPr>
                </pic:pic>
              </a:graphicData>
            </a:graphic>
          </wp:anchor>
        </w:drawing>
      </w:r>
    </w:p>
    <w:p>
      <w:pPr>
        <w:pStyle w:val="Title"/>
        <w:spacing w:lineRule="auto" w:line="240" w:before="0" w:after="0"/>
        <w:ind w:hanging="0"/>
        <w:jc w:val="both"/>
        <w:rPr>
          <w:sz w:val="26"/>
          <w:szCs w:val="26"/>
        </w:rPr>
      </w:pPr>
      <w:r>
        <w:rPr>
          <w:sz w:val="26"/>
          <w:szCs w:val="26"/>
        </w:rPr>
      </w:r>
    </w:p>
    <w:p>
      <w:pPr>
        <w:pStyle w:val="Title"/>
        <w:spacing w:lineRule="auto" w:line="240" w:before="0" w:after="0"/>
        <w:ind w:hanging="0"/>
        <w:jc w:val="both"/>
        <w:rPr>
          <w:sz w:val="26"/>
          <w:szCs w:val="26"/>
        </w:rPr>
      </w:pPr>
      <w:r>
        <w:rPr>
          <w:sz w:val="26"/>
          <w:szCs w:val="26"/>
        </w:rPr>
      </w:r>
    </w:p>
    <w:p>
      <w:pPr>
        <w:pStyle w:val="Title"/>
        <w:spacing w:lineRule="auto" w:line="288" w:before="0" w:after="0"/>
        <w:ind w:left="-567" w:hanging="0"/>
        <w:rPr/>
      </w:pPr>
      <w:r>
        <w:rPr>
          <w:sz w:val="24"/>
          <w:szCs w:val="24"/>
        </w:rPr>
        <w:t>ПРОТОКОЛ № 6649–ОАОФ/1/1</w:t>
      </w:r>
    </w:p>
    <w:p>
      <w:pPr>
        <w:pStyle w:val="Title"/>
        <w:spacing w:lineRule="auto" w:line="288" w:before="0" w:after="0"/>
        <w:ind w:left="-567" w:hanging="0"/>
        <w:rPr>
          <w:sz w:val="24"/>
          <w:szCs w:val="24"/>
        </w:rPr>
      </w:pPr>
      <w:r>
        <w:rPr>
          <w:sz w:val="24"/>
          <w:szCs w:val="24"/>
        </w:rPr>
        <w:t xml:space="preserve">ОПРЕДЕЛЕНИЯ УЧАСТНИКОВ ТОРГОВ </w:t>
      </w:r>
    </w:p>
    <w:p>
      <w:pPr>
        <w:pStyle w:val="Title"/>
        <w:spacing w:lineRule="auto" w:line="288" w:before="0" w:after="0"/>
        <w:ind w:left="-567" w:hanging="0"/>
        <w:rPr>
          <w:sz w:val="24"/>
          <w:szCs w:val="24"/>
        </w:rPr>
      </w:pPr>
      <w:r>
        <w:rPr>
          <w:sz w:val="24"/>
          <w:szCs w:val="24"/>
        </w:rPr>
        <w:t xml:space="preserve">В ЭЛЕКТРОННОЙ ФОРМЕ ПО ЛОТУ № 1  </w:t>
      </w:r>
    </w:p>
    <w:p>
      <w:pPr>
        <w:pStyle w:val="Title"/>
        <w:spacing w:lineRule="auto" w:line="288" w:before="0" w:after="0"/>
        <w:ind w:left="-567" w:hanging="0"/>
        <w:rPr>
          <w:sz w:val="26"/>
          <w:szCs w:val="26"/>
        </w:rPr>
      </w:pPr>
      <w:r>
        <w:rPr>
          <w:sz w:val="26"/>
          <w:szCs w:val="26"/>
        </w:rPr>
      </w:r>
    </w:p>
    <w:p>
      <w:pPr>
        <w:pStyle w:val="Normal"/>
        <w:spacing w:before="120" w:after="120"/>
        <w:jc w:val="right"/>
        <w:rPr>
          <w:sz w:val="26"/>
          <w:szCs w:val="26"/>
        </w:rPr>
      </w:pPr>
      <w:r>
        <w:rPr>
          <w:sz w:val="26"/>
          <w:szCs w:val="26"/>
          <w:lang w:val="en-US"/>
        </w:rPr>
        <w:t> </w:t>
      </w:r>
      <w:r>
        <w:rPr>
          <w:sz w:val="20"/>
          <w:szCs w:val="20"/>
        </w:rPr>
        <w:t>Дата подписания протокола: «7» февраля 2023 года.</w:t>
      </w:r>
    </w:p>
    <w:p>
      <w:pPr>
        <w:pStyle w:val="ListParagraph"/>
        <w:spacing w:lineRule="auto" w:line="264" w:beforeAutospacing="0" w:before="280" w:afterAutospacing="0" w:after="120"/>
        <w:ind w:left="0" w:hanging="0"/>
        <w:jc w:val="both"/>
        <w:rPr/>
      </w:pPr>
      <w:r>
        <w:rPr/>
      </w:r>
    </w:p>
    <w:p>
      <w:pPr>
        <w:pStyle w:val="Normal"/>
        <w:spacing w:lineRule="auto" w:line="264" w:before="120" w:after="120"/>
        <w:ind w:firstLine="215"/>
        <w:rPr>
          <w:b/>
          <w:b/>
          <w:bCs/>
        </w:rPr>
      </w:pPr>
      <w:r>
        <w:rPr>
          <w:b/>
          <w:bCs/>
        </w:rPr>
        <w:t>1. Форма проведения торгов и подачи ценовых предложений</w:t>
      </w:r>
    </w:p>
    <w:p>
      <w:pPr>
        <w:pStyle w:val="Normal"/>
        <w:spacing w:lineRule="auto" w:line="264" w:before="60" w:after="60"/>
        <w:ind w:firstLine="567"/>
        <w:rPr/>
      </w:pPr>
      <w:r>
        <w:rPr/>
        <w:t>Открытый аукцион с открытой формой представления предложений о цене.</w:t>
      </w:r>
    </w:p>
    <w:p>
      <w:pPr>
        <w:pStyle w:val="Normal"/>
        <w:spacing w:lineRule="auto" w:line="264" w:before="120" w:after="120"/>
        <w:ind w:firstLine="215"/>
        <w:rPr>
          <w:b/>
          <w:b/>
          <w:bCs/>
        </w:rPr>
      </w:pPr>
      <w:r>
        <w:rPr>
          <w:b/>
          <w:bCs/>
        </w:rPr>
        <w:t>2. Идентификационный номер торгов</w:t>
      </w:r>
    </w:p>
    <w:p>
      <w:pPr>
        <w:pStyle w:val="Normal"/>
        <w:spacing w:lineRule="auto" w:line="264" w:before="0" w:after="120"/>
        <w:ind w:left="284" w:firstLine="283"/>
        <w:jc w:val="left"/>
        <w:rPr/>
      </w:pPr>
      <w:r>
        <w:rPr>
          <w:rFonts w:eastAsia="Times New Roman"/>
          <w:b/>
          <w:u w:val="single"/>
        </w:rPr>
        <w:t>Торги</w:t>
      </w:r>
      <w:r>
        <w:rPr>
          <w:rFonts w:eastAsia="Times New Roman"/>
          <w:u w:val="single"/>
        </w:rPr>
        <w:t xml:space="preserve"> </w:t>
      </w:r>
      <w:r>
        <w:rPr>
          <w:rFonts w:eastAsia="Times New Roman"/>
          <w:b/>
          <w:u w:val="single"/>
        </w:rPr>
        <w:t>№ 6649-ОАОФ</w:t>
      </w:r>
      <w:r>
        <w:rPr>
          <w:rFonts w:eastAsia="Times New Roman"/>
        </w:rPr>
        <w:t>:</w:t>
      </w:r>
      <w:r>
        <w:rPr>
          <w:rFonts w:eastAsia="Times New Roman"/>
          <w:b/>
        </w:rPr>
        <w:t xml:space="preserve"> </w:t>
      </w:r>
      <w:r>
        <w:rPr>
          <w:rFonts w:eastAsia="Times New Roman"/>
        </w:rPr>
        <w:t>Открытый аукцион с открытой формой представления предложений о цене, должник ООО "АЛЬФА ТЕХНОЛОГИИ";</w:t>
      </w:r>
    </w:p>
    <w:p>
      <w:pPr>
        <w:pStyle w:val="Normal"/>
        <w:spacing w:lineRule="auto" w:line="264" w:before="120" w:after="120"/>
        <w:ind w:firstLine="215"/>
        <w:rPr>
          <w:b/>
          <w:b/>
          <w:bCs/>
        </w:rPr>
      </w:pPr>
      <w:r>
        <w:rPr>
          <w:b/>
          <w:bCs/>
        </w:rPr>
        <w:t>3. Номер и наименование лота</w:t>
      </w:r>
    </w:p>
    <w:p>
      <w:pPr>
        <w:pStyle w:val="Normal"/>
        <w:spacing w:lineRule="auto" w:line="264" w:before="120" w:after="120"/>
        <w:ind w:left="284" w:firstLine="283"/>
        <w:jc w:val="left"/>
        <w:rPr>
          <w:rFonts w:eastAsia="Times New Roman"/>
        </w:rPr>
      </w:pPr>
      <w:r>
        <w:rPr>
          <w:rFonts w:eastAsia="Times New Roman"/>
          <w:b/>
          <w:u w:val="single"/>
        </w:rPr>
        <w:t>Лот № 1</w:t>
      </w:r>
      <w:r>
        <w:rPr>
          <w:rFonts w:eastAsia="Times New Roman"/>
        </w:rPr>
        <w:t>: Право требования к дебиторам должника (ООО "АВАНТАЖ", ИНН 3525425249 414892 руб., ООО "АЛЬЯНС-НЕВА", ИНН 7839456534 35000 руб., ИП Анохин Сергей Николаевич, ИНН 772512957738 53457 руб., ООО "АРТКЕРАМОС", ИНН 7734409632 200000 руб., ООО "АРТЛАЙН", ИНН 7839109202 216384,40 руб., ООО "АРХИСИТИ", ИНН 7813492457 310000 руб., ООО "АТГ", ИНН 7813616575 6680 руб., ООО "БАЛТКОМ", ИНН 7801669773 16000 руб., ООО "БАЛТЭКОТЭК", ИНН 7810471152 64000 руб., ООО "БАСТИОН-ЛТВ", ИНН 9729271164 9400 руб., ИП Васильева Мария Сергеевна, ИНН 350703486578 18960 руб., ООО "ВИТРАЖ-СПБ", ИНН 7820318146 68067,08 руб., ООО "ВСМК-35", ИНН 3525368022 260755,93 руб., ИП Гуринович Дмитрий Андреевич, ИНН 780292580010 13600 руб., ИП Дмитриев Алексей Юрьевич, ИНН 470314183640 35000 руб., ООО "ЕВРОЗАПАД", ИНН 3905067800 924157 руб., ИП Зейтунян Мария Овагимовна, ИНН 232502589490 132741 руб., ИП Инюшин Николай Владимирович, ИНН 352516660734 9000 руб., ИП Арсенин П.С., ИНН 291201417575 168058 руб., ИП Чайка Сергей Владимирович, ИНН 471205519394 26300 руб., ИП Кармазин Алексей Васильевич, ИНН 781696467598 58500 руб., ООО "КОМПАНИЯ КЕМИКС", ИНН 7811504932 9548,99 руб., ООО "КРОНА", ИНН 3525451513 330123 руб., ИП Крупнов Иван Константинович, ИНН 780436055600 175000 руб., ООО "ЛАТОНА", ИНН 6320042353 248600,00 ИП Лесин Александр Сергеевич, ИНН 782576084002 10544 руб., ООО "ЛИИС ИНЖЕНЕРНЫЕ РЕШЕНИЯ", ИНН 7813229590 2128244,97 руб., ООО "ЛСИ", ИНН 7805726447 418802,91 руб., ООО "ЛУИС+ СЕВЕРО-ЗАПАД", ИНН 7810480076 133270,83 руб., ООО "ЛЮДИ АРХИТЕКТС", ИНН 7817300526 600000 руб., ИП Меньшиков Сергей Иванович, ИНН 352501236459 78485,36 ИП Михнутин Алексей Алексеевич, ИНН 290106448074 82048 руб., ООО "НВ-СТРОЙ", ИНН 7804483086 150000 руб., ООО "НЕБО СПБ ПЛЮС", ИНН 7811544082 28550 руб., ООО "НИКОСТРОЙ", ИНН 7802620153 1300000 руб., ООО "НПБ-СЕРВИС", ИНН 7806326240 250000 руб., ООО "НПК ОГНЕХИМЗАЩИТА", ИНН 7801557981 66240 руб., ООО "О ДВА", ИНН 7842054507 483091,97 руб., ООО "ОМИТЕ-КС", ИНН 7842394912 650473,43 руб., ООО "Ритэйл-Регион", ИНН 5029187294 91682,40 ООО "ОПТ-СТРОЙ", ИНН 7714967741 50588 руб., ООО "ПАРТНЕР", ИНН 3525451993 235292 руб., ООО "ПВК", ИНН 7805731380 16487,44 руб., ООО "ПЛИТСТРОЙ", ИНН 7806266489 51500,00 ИП Плотников Александр Сергеевич, ИНН 272212068090 159400 руб., ООО "ПОРТАТИВНАЯ ТЕХНИКА", ИНН 7838330803 161970 руб., ИП Потапов Сергей Васильевич, ИНН 780525346697 10510 руб., ООО "ПФК "ЧАРУС", ИНН 7707072549 5450,01 руб., ООО "ПЭК", ИНН 7721823853 5113,98 руб., ИП Решетова Александра Васильевна, ИНН 782065024204 31950 руб., ООО "РСО СТРОЙ-КА", ИНН 7814720603 11139,24 руб., ООО "СГ СОФУС", ИНН 7807156351 74511,20 руб., АО "СЕВЕРЕН-ТЕЛЕКОМ", ИНН 7816181675 8942,40 руб., ООО "СЕРВИСНЫЙ ЦЕНТР С-З", ИНН 7810744770 5200,00 Серов Юрий Дмитриевич (Адвокат), ИНН 780436658020 40000 руб., ООО "СЗС", ИНН 3525374876 11074,80 руб., ООО "СИНЕРДЖИ ПРО", ИНН 7813457004 231034,88 руб., ООО "СИТИЛИНК", ИНН 7718979307 275846,99 руб., ООО "СМАРТ", ИНН 7805707660 669900 руб., ИП Смирнова Олеся Геннадьевна, ИНН 732894695807 302915,33 руб., ООО "СОФКОРП", ИНН 7810676079 37000 руб., ООО "Спецэлектросбыт", ИНН 7801094780 30450 руб., ООО "СТАНДАРТ ПАК", ИНН 3525443128 259264,63 руб., ООО "СТАРТ-РЕНТ", ИНН 7816598187 92000 руб., ООО "СТРОЙТЕРМИНАЛ", ИНН 7714420980 84119,60 руб., ООО "СТРОЙТРАНСПРО", ИНН 4705078814 222515,30 руб., ООО "ТВЕНГ", ИНН 7802097624 53500 руб., ООО "ТД АРИОН", ИНН 7805684229 41387,30 руб., ООО "ТД "ЭЛЕКТРОТЕХМОНТАЖ", ИНН 7804526950 331956,58 руб., АО "ТЕЛЕ2-САНКТ-ПЕТЕРБУРГ", ИНН 7815020097 10683,58 руб., ООО "ТЕЛЕКОМСЕРВИС", ИНН 7838048490 2532939 руб., АО "Теплосеть Санкт-Петербурга", ИНН 7810577007 43992 руб., ООО "ТЕХНОТЕК", ИНН 7842111610 237498,69 руб., ООО "ТИТАНЫ ГРУПП", ИНН 7842111610 41200 руб., ИП Третьяков Алексей Андреевич, ИНН 771472083655 30376,50 руб., ИП Тывч Марина Владимировна, ИНН 361406044430 165400 руб., ИП Ульянов Андрис Викторович, ИНН 780107076556 152600 руб., ИП Ульянов Илья Владимирович, ИНН 470103059555 146000 руб., АО "ХИЛТИ ДИСТРИБЬЮШН ЛТД", ИНН 7710050305 12 158,98 руб., ООО "Хозотдел-СПБ", ИНН 7804547734 14600,00 ООО "ЦЕЗАРЬ САТЕЛЛИТ С-З", ИНН 7813306291 10457,80 руб., ООО "ЦЕНТРСВЕТ", ИНН 7734400541 12000 руб., ООО "ШИНСЕРВИС", ИНН 7725693620 100378 руб., ООО "ЭЛЕКТРОННЫЕ СИСТЕМЫ", ИНН 7811644827 18000 руб., ООО "ЭНКИ", ИНН 7329031936 498720 руб., ООО "ДОРМАКАБА ЕВРАЗИЯ", ИНН 7703525710 15545,18 руб., ООО "НИКОСТРОЙ", ИНН 7802620153 9270 руб., ООО "ФОРУМ НЕВА", ИНН 7820072020 7467,36 руб.).</w:t>
      </w:r>
    </w:p>
    <w:p>
      <w:pPr>
        <w:pStyle w:val="Normal"/>
        <w:spacing w:lineRule="auto" w:line="264" w:before="120" w:after="120"/>
        <w:ind w:firstLine="215"/>
        <w:rPr>
          <w:b/>
          <w:b/>
          <w:bCs/>
        </w:rPr>
      </w:pPr>
      <w:r>
        <w:rPr>
          <w:b/>
          <w:bCs/>
        </w:rPr>
        <w:t>4. Начальная цена лота</w:t>
      </w:r>
    </w:p>
    <w:p>
      <w:pPr>
        <w:pStyle w:val="Normal"/>
        <w:spacing w:lineRule="auto" w:line="264" w:before="0" w:after="120"/>
        <w:ind w:left="567" w:hanging="0"/>
        <w:rPr/>
      </w:pPr>
      <w:r>
        <w:rPr/>
        <w:t xml:space="preserve">Начальная цена лота: </w:t>
      </w:r>
      <w:bookmarkStart w:id="0" w:name="_Hlk37862099"/>
      <w:r>
        <w:rPr/>
        <w:t>250 000.00 руб.</w:t>
      </w:r>
      <w:bookmarkStart w:id="1" w:name="__DdeLink__401_1669373830"/>
      <w:bookmarkEnd w:id="1"/>
      <w:r>
        <w:rPr/>
        <w:t xml:space="preserve"> </w:t>
      </w:r>
      <w:bookmarkStart w:id="2" w:name="_Hlk37937183"/>
      <w:bookmarkEnd w:id="0"/>
    </w:p>
    <w:p>
      <w:pPr>
        <w:pStyle w:val="ListParagraph"/>
        <w:spacing w:lineRule="auto" w:line="264" w:beforeAutospacing="0" w:before="120" w:afterAutospacing="0" w:after="120"/>
        <w:ind w:left="0" w:firstLine="215"/>
        <w:jc w:val="both"/>
        <w:rPr/>
      </w:pPr>
      <w:bookmarkEnd w:id="2"/>
      <w:r>
        <w:rPr/>
        <w:t>5. Номер дела о банкротстве</w:t>
      </w:r>
    </w:p>
    <w:p>
      <w:pPr>
        <w:pStyle w:val="Normal"/>
        <w:spacing w:lineRule="auto" w:line="264" w:before="0" w:after="120"/>
        <w:ind w:firstLine="567"/>
        <w:rPr/>
      </w:pPr>
      <w:r>
        <w:rPr/>
        <w:t>А56-44217/2021.</w:t>
      </w:r>
    </w:p>
    <w:p>
      <w:pPr>
        <w:pStyle w:val="ListParagraph"/>
        <w:spacing w:lineRule="auto" w:line="264" w:beforeAutospacing="0" w:before="120" w:afterAutospacing="0" w:after="120"/>
        <w:ind w:left="0" w:firstLine="215"/>
        <w:jc w:val="both"/>
        <w:rPr/>
      </w:pPr>
      <w:r>
        <w:rPr/>
        <w:t>6. Наименование арбитражного суда</w:t>
      </w:r>
    </w:p>
    <w:p>
      <w:pPr>
        <w:pStyle w:val="Normal"/>
        <w:spacing w:lineRule="auto" w:line="264" w:before="0" w:after="120"/>
        <w:ind w:firstLine="567"/>
        <w:rPr/>
      </w:pPr>
      <w:r>
        <w:rPr/>
        <w:t>Арбитражный суд города Санкт-Петербурга и Ленинградской области.</w:t>
      </w:r>
      <w:bookmarkStart w:id="3" w:name="_Hlk38153501"/>
      <w:bookmarkStart w:id="4" w:name="_GoBack"/>
      <w:bookmarkEnd w:id="3"/>
      <w:bookmarkEnd w:id="4"/>
    </w:p>
    <w:p>
      <w:pPr>
        <w:pStyle w:val="Normal"/>
        <w:spacing w:lineRule="auto" w:line="264" w:before="120" w:after="120"/>
        <w:ind w:firstLine="215"/>
        <w:rPr>
          <w:b/>
          <w:b/>
          <w:bCs/>
        </w:rPr>
      </w:pPr>
      <w:r>
        <w:rPr>
          <w:b/>
          <w:bCs/>
        </w:rPr>
        <w:t xml:space="preserve">7. </w:t>
      </w:r>
      <w:bookmarkStart w:id="5" w:name="_Hlk37884772"/>
      <w:r>
        <w:rPr>
          <w:b/>
          <w:bCs/>
        </w:rPr>
        <w:t>Наименование должника</w:t>
      </w:r>
      <w:bookmarkEnd w:id="5"/>
    </w:p>
    <w:p>
      <w:pPr>
        <w:pStyle w:val="Normal"/>
        <w:spacing w:lineRule="auto" w:line="264" w:before="0" w:after="120"/>
        <w:ind w:firstLine="567"/>
        <w:rPr/>
      </w:pPr>
      <w:r>
        <w:rPr/>
        <w:t>ООО "АЛЬФА ТЕХНОЛОГИИ".</w:t>
      </w:r>
    </w:p>
    <w:p>
      <w:pPr>
        <w:pStyle w:val="Normal"/>
        <w:spacing w:lineRule="auto" w:line="264" w:before="120" w:after="120"/>
        <w:ind w:firstLine="215"/>
        <w:rPr>
          <w:b/>
          <w:b/>
          <w:bCs/>
        </w:rPr>
      </w:pPr>
      <w:r>
        <w:rPr>
          <w:b/>
          <w:bCs/>
        </w:rPr>
        <w:t>8. Арбитражный управляющий должника</w:t>
      </w:r>
    </w:p>
    <w:p>
      <w:pPr>
        <w:pStyle w:val="Normal"/>
        <w:spacing w:lineRule="auto" w:line="264" w:before="0" w:after="120"/>
        <w:ind w:firstLine="567"/>
        <w:rPr>
          <w:lang w:val="en-US"/>
        </w:rPr>
      </w:pPr>
      <w:r>
        <w:rPr>
          <w:lang w:val="en-US"/>
        </w:rPr>
        <w:t>Каюрова Елена Всеволодовна.</w:t>
      </w:r>
      <w:bookmarkStart w:id="6" w:name="_Hlk37882833"/>
      <w:bookmarkEnd w:id="6"/>
    </w:p>
    <w:p>
      <w:pPr>
        <w:pStyle w:val="Normal"/>
        <w:spacing w:lineRule="auto" w:line="264" w:before="120" w:after="120"/>
        <w:ind w:firstLine="215"/>
        <w:rPr>
          <w:b/>
          <w:b/>
          <w:bCs/>
          <w:lang w:val="en-US"/>
        </w:rPr>
      </w:pPr>
      <w:r>
        <w:rPr>
          <w:b/>
          <w:bCs/>
          <w:lang w:val="en-US"/>
        </w:rPr>
        <w:t xml:space="preserve">9. </w:t>
      </w:r>
      <w:r>
        <w:rPr>
          <w:b/>
          <w:bCs/>
        </w:rPr>
        <w:t>Организатор</w:t>
      </w:r>
      <w:r>
        <w:rPr>
          <w:b/>
          <w:bCs/>
          <w:lang w:val="en-US"/>
        </w:rPr>
        <w:t xml:space="preserve"> </w:t>
      </w:r>
      <w:r>
        <w:rPr>
          <w:b/>
          <w:bCs/>
        </w:rPr>
        <w:t>торгов</w:t>
      </w:r>
      <w:r>
        <w:rPr>
          <w:b/>
          <w:bCs/>
          <w:lang w:val="en-US"/>
        </w:rPr>
        <w:t xml:space="preserve"> </w:t>
      </w:r>
    </w:p>
    <w:p>
      <w:pPr>
        <w:pStyle w:val="Normal"/>
        <w:spacing w:lineRule="auto" w:line="264" w:before="0" w:after="120"/>
        <w:ind w:firstLine="567"/>
        <w:rPr>
          <w:lang w:val="en-US"/>
        </w:rPr>
      </w:pPr>
      <w:r>
        <w:rPr>
          <w:lang w:val="en-US"/>
        </w:rPr>
        <w:t>Каюрова Елена Всеволодовна.</w:t>
      </w:r>
    </w:p>
    <w:p>
      <w:pPr>
        <w:pStyle w:val="Normal"/>
        <w:spacing w:lineRule="auto" w:line="264" w:before="120" w:after="120"/>
        <w:ind w:firstLine="215"/>
        <w:rPr>
          <w:b/>
          <w:b/>
          <w:bCs/>
        </w:rPr>
      </w:pPr>
      <w:r>
        <w:rPr>
          <w:b/>
          <w:bCs/>
        </w:rPr>
        <w:t>10. Оператор электронной площадки и место проведения торгов</w:t>
      </w:r>
    </w:p>
    <w:p>
      <w:pPr>
        <w:pStyle w:val="Normal"/>
        <w:spacing w:lineRule="auto" w:line="264" w:before="0" w:after="120"/>
        <w:ind w:left="567" w:hanging="0"/>
        <w:rPr/>
      </w:pPr>
      <w:r>
        <w:rPr/>
        <w:t>Оператор электронной площадки: ООО «ВЭТП» (адрес: 390037, РФ, Рязанская область, г. Рязань, ул. Зубковой, д.18в, ИНН: 6230079253, ОГРН: 1126230004449).</w:t>
      </w:r>
    </w:p>
    <w:p>
      <w:pPr>
        <w:pStyle w:val="Normal"/>
        <w:spacing w:lineRule="auto" w:line="264" w:before="0" w:after="120"/>
        <w:ind w:left="567" w:hanging="0"/>
        <w:rPr>
          <w:color w:val="800000"/>
          <w:u w:val="single"/>
        </w:rPr>
      </w:pPr>
      <w:r>
        <w:rPr/>
        <w:t xml:space="preserve">Место проведения торгов: «Всероссийская Электронная Торговая Площадка», адрес в сети интернет: </w:t>
      </w:r>
      <w:r>
        <w:rPr>
          <w:color w:val="800000"/>
          <w:u w:val="single"/>
        </w:rPr>
        <w:t/>
      </w:r>
    </w:p>
    <w:p>
      <w:pPr>
        <w:pStyle w:val="Normal"/>
        <w:spacing w:lineRule="auto" w:line="264" w:before="120" w:after="120"/>
        <w:ind w:firstLine="215"/>
        <w:rPr>
          <w:b/>
          <w:b/>
          <w:bCs/>
        </w:rPr>
      </w:pPr>
      <w:r>
        <w:rPr>
          <w:b/>
          <w:bCs/>
        </w:rPr>
        <w:t xml:space="preserve">11. </w:t>
      </w:r>
      <w:bookmarkStart w:id="7" w:name="_Hlk37884187"/>
      <w:r>
        <w:rPr>
          <w:b/>
          <w:bCs/>
        </w:rPr>
        <w:t>Дата и время представления заявок на участие</w:t>
      </w:r>
      <w:bookmarkEnd w:id="7"/>
      <w:r>
        <w:rPr>
          <w:b/>
          <w:bCs/>
        </w:rPr>
        <w:t xml:space="preserve"> в торгах</w:t>
      </w:r>
    </w:p>
    <w:p>
      <w:pPr>
        <w:pStyle w:val="Normal"/>
        <w:spacing w:lineRule="auto" w:line="264" w:before="0" w:after="120"/>
        <w:ind w:left="142" w:firstLine="425"/>
        <w:rPr/>
      </w:pPr>
      <w:r>
        <w:rPr/>
        <w:t>Дата начала представления заявок: «26» декабря 2022г. 11:00:00</w:t>
      </w:r>
    </w:p>
    <w:p>
      <w:pPr>
        <w:pStyle w:val="Normal"/>
        <w:spacing w:lineRule="auto" w:line="264" w:before="0" w:after="120"/>
        <w:ind w:left="142" w:firstLine="425"/>
        <w:rPr/>
      </w:pPr>
      <w:r>
        <w:rPr/>
        <w:t>Дата окончания представления заявок: «07» февраля 2023г. 17:00:00</w:t>
      </w:r>
      <w:bookmarkStart w:id="8" w:name="_Hlk38153468"/>
      <w:bookmarkStart w:id="9" w:name="_Hlk38027018"/>
      <w:bookmarkEnd w:id="8"/>
      <w:bookmarkEnd w:id="9"/>
    </w:p>
    <w:p>
      <w:pPr>
        <w:pStyle w:val="Normal"/>
        <w:spacing w:lineRule="auto" w:line="264" w:before="120" w:after="120"/>
        <w:ind w:firstLine="215"/>
        <w:rPr>
          <w:b/>
          <w:b/>
          <w:bCs/>
        </w:rPr>
      </w:pPr>
      <w:r>
        <w:rPr>
          <w:b/>
          <w:bCs/>
        </w:rPr>
        <w:t xml:space="preserve">12. </w:t>
      </w:r>
      <w:bookmarkStart w:id="10" w:name="OLE_LINK36"/>
      <w:bookmarkEnd w:id="10"/>
      <w:r>
        <w:rPr>
          <w:b/>
          <w:bCs/>
        </w:rPr>
        <w:t>Перечень зарегистрированных заявок</w:t>
      </w:r>
    </w:p>
    <w:tbl>
      <w:tblPr>
        <w:tblW w:w="5000" w:type="pct"/>
        <w:jc w:val="center"/>
        <w:tblInd w:w="0" w:type="dxa"/>
        <w:tblCellMar>
          <w:top w:w="0" w:type="dxa"/>
          <w:left w:w="27" w:type="dxa"/>
          <w:bottom w:w="0" w:type="dxa"/>
          <w:right w:w="108" w:type="dxa"/>
        </w:tblCellMar>
        <w:tblLook w:val="04a0" w:noHBand="0" w:noVBand="1" w:firstColumn="1" w:lastRow="0" w:lastColumn="0" w:firstRow="1"/>
      </w:tblPr>
      <w:tblGrid>
        <w:gridCol w:w="3029"/>
        <w:gridCol w:w="3903"/>
        <w:gridCol w:w="2139"/>
      </w:tblGrid>
      <w:tr>
        <w:trPr/>
        <w:tc>
          <w:tcPr>
            <w:tcW w:w="3029"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18"/>
                <w:szCs w:val="18"/>
              </w:rPr>
            </w:pPr>
            <w:r>
              <w:rPr>
                <w:b/>
                <w:sz w:val="18"/>
                <w:szCs w:val="18"/>
              </w:rPr>
              <w:t>Дата подачи</w:t>
            </w:r>
          </w:p>
        </w:tc>
        <w:tc>
          <w:tcPr>
            <w:tcW w:w="39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18"/>
                <w:szCs w:val="18"/>
              </w:rPr>
            </w:pPr>
            <w:r>
              <w:rPr>
                <w:b/>
                <w:sz w:val="18"/>
                <w:szCs w:val="18"/>
              </w:rPr>
              <w:t>Информация о заявителе</w:t>
            </w:r>
          </w:p>
        </w:tc>
        <w:tc>
          <w:tcPr>
            <w:tcW w:w="2139"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18"/>
                <w:szCs w:val="18"/>
              </w:rPr>
            </w:pPr>
            <w:r>
              <w:rPr>
                <w:b/>
                <w:sz w:val="18"/>
                <w:szCs w:val="18"/>
              </w:rPr>
              <w:t>Статус рассмотрения заявки</w:t>
            </w:r>
          </w:p>
        </w:tc>
      </w:tr>
      <w:tr>
        <w:trPr/>
        <w:tc>
          <w:tcPr>
            <w:tcW w:w="3029"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lang w:val="en-US"/>
              </w:rPr>
            </w:pPr>
            <w:r>
              <w:rPr>
                <w:sz w:val="18"/>
                <w:szCs w:val="18"/>
                <w:lang w:val="en-US"/>
              </w:rPr>
              <w:t xml:space="preserve">«6» февраля 2023 года, время:  19:13:23  </w:t>
            </w:r>
          </w:p>
        </w:tc>
        <w:tc>
          <w:tcPr>
            <w:tcW w:w="39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pPr>
            <w:r>
              <w:rPr>
                <w:sz w:val="18"/>
                <w:szCs w:val="18"/>
                <w:lang w:val="en-US"/>
              </w:rPr>
              <w:t>Морозов Дмитрий Сергеевич</w:t>
            </w:r>
          </w:p>
          <w:p>
            <w:pPr>
              <w:pStyle w:val="Tabletext"/>
              <w:spacing w:lineRule="auto" w:line="264"/>
              <w:jc w:val="center"/>
              <w:rPr/>
            </w:pPr>
            <w:r>
              <w:rPr>
                <w:sz w:val="18"/>
                <w:szCs w:val="18"/>
                <w:lang w:val="en-US"/>
              </w:rPr>
              <w:t xml:space="preserve"> </w:t>
            </w:r>
            <w:r>
              <w:rPr>
                <w:sz w:val="18"/>
                <w:szCs w:val="18"/>
                <w:lang w:val="en-US"/>
              </w:rPr>
              <w:t>ИНН:471803587463</w:t>
            </w:r>
          </w:p>
        </w:tc>
        <w:tc>
          <w:tcPr>
            <w:tcW w:w="2139"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rPr>
            </w:pPr>
            <w:r>
              <w:rPr>
                <w:b/>
                <w:sz w:val="18"/>
                <w:szCs w:val="18"/>
              </w:rPr>
              <w:t xml:space="preserve">Заявка принята </w:t>
            </w:r>
          </w:p>
        </w:tc>
      </w:tr>
    </w:tbl>
    <w:p>
      <w:pPr>
        <w:pStyle w:val="Normal"/>
        <w:spacing w:lineRule="auto" w:line="264" w:before="120" w:after="120"/>
        <w:ind w:firstLine="215"/>
        <w:rPr>
          <w:b/>
          <w:b/>
          <w:bCs/>
        </w:rPr>
      </w:pPr>
      <w:r>
        <w:rPr>
          <w:b/>
          <w:bCs/>
        </w:rPr>
        <w:t>13. Перечень заявителей, допущенных к участию в торгах</w:t>
      </w:r>
    </w:p>
    <w:tbl>
      <w:tblPr>
        <w:tblW w:w="5000" w:type="pct"/>
        <w:jc w:val="center"/>
        <w:tblInd w:w="0" w:type="dxa"/>
        <w:tblCellMar>
          <w:top w:w="0" w:type="dxa"/>
          <w:left w:w="27" w:type="dxa"/>
          <w:bottom w:w="0" w:type="dxa"/>
          <w:right w:w="108" w:type="dxa"/>
        </w:tblCellMar>
        <w:tblLook w:val="04a0" w:noHBand="0" w:noVBand="1" w:firstColumn="1" w:lastRow="0" w:lastColumn="0" w:firstRow="1"/>
      </w:tblPr>
      <w:tblGrid>
        <w:gridCol w:w="3420"/>
        <w:gridCol w:w="5650"/>
      </w:tblGrid>
      <w:tr>
        <w:trPr/>
        <w:tc>
          <w:tcPr>
            <w:tcW w:w="342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18"/>
                <w:szCs w:val="18"/>
              </w:rPr>
            </w:pPr>
            <w:r>
              <w:rPr>
                <w:b/>
                <w:sz w:val="18"/>
                <w:szCs w:val="18"/>
              </w:rPr>
              <w:t>Дата подачи</w:t>
            </w:r>
          </w:p>
        </w:tc>
        <w:tc>
          <w:tcPr>
            <w:tcW w:w="565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18"/>
                <w:szCs w:val="18"/>
              </w:rPr>
            </w:pPr>
            <w:r>
              <w:rPr>
                <w:b/>
                <w:sz w:val="18"/>
                <w:szCs w:val="18"/>
              </w:rPr>
              <w:t>Информация о заявителе</w:t>
            </w:r>
          </w:p>
        </w:tc>
      </w:tr>
      <w:tr>
        <w:trPr/>
        <w:tc>
          <w:tcPr>
            <w:tcW w:w="342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lang w:val="en-US"/>
              </w:rPr>
            </w:pPr>
            <w:r>
              <w:rPr>
                <w:sz w:val="18"/>
                <w:szCs w:val="18"/>
                <w:lang w:val="en-US"/>
              </w:rPr>
              <w:t xml:space="preserve">«6» февраля 2023 года, время:  19:13:23  </w:t>
            </w:r>
          </w:p>
        </w:tc>
        <w:tc>
          <w:tcPr>
            <w:tcW w:w="565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pPr>
            <w:r>
              <w:rPr>
                <w:sz w:val="18"/>
                <w:szCs w:val="18"/>
                <w:lang w:val="en-US"/>
              </w:rPr>
              <w:t>Морозов Дмитрий Сергеевич</w:t>
            </w:r>
          </w:p>
          <w:p>
            <w:pPr>
              <w:pStyle w:val="Tabletext"/>
              <w:spacing w:lineRule="auto" w:line="264"/>
              <w:jc w:val="center"/>
              <w:rPr/>
            </w:pPr>
            <w:r>
              <w:rPr>
                <w:sz w:val="18"/>
                <w:szCs w:val="18"/>
                <w:lang w:val="en-US"/>
              </w:rPr>
              <w:t>ИНН:471803587463</w:t>
            </w:r>
          </w:p>
        </w:tc>
      </w:tr>
    </w:tbl>
    <w:p>
      <w:pPr>
        <w:pStyle w:val="Normal"/>
        <w:spacing w:lineRule="auto" w:line="264" w:before="120" w:after="120"/>
        <w:ind w:firstLine="215"/>
        <w:rPr>
          <w:b/>
          <w:b/>
          <w:bCs/>
        </w:rPr>
      </w:pPr>
      <w:r>
        <w:rPr>
          <w:b/>
          <w:bCs/>
        </w:rPr>
        <w:t>14. Перечень заявителей, которым отказано в допуске к участию в торгах</w:t>
      </w:r>
    </w:p>
    <w:tbl>
      <w:tblPr>
        <w:tblW w:w="5000" w:type="pct"/>
        <w:jc w:val="center"/>
        <w:tblInd w:w="0" w:type="dxa"/>
        <w:tblCellMar>
          <w:top w:w="0" w:type="dxa"/>
          <w:left w:w="27" w:type="dxa"/>
          <w:bottom w:w="0" w:type="dxa"/>
          <w:right w:w="108" w:type="dxa"/>
        </w:tblCellMar>
        <w:tblLook w:val="04a0" w:noHBand="0" w:noVBand="1" w:firstColumn="1" w:lastRow="0" w:lastColumn="0" w:firstRow="1"/>
      </w:tblPr>
      <w:tblGrid>
        <w:gridCol w:w="3460"/>
        <w:gridCol w:w="3660"/>
        <w:gridCol w:w="1951"/>
      </w:tblGrid>
      <w:tr>
        <w:trPr/>
        <w:tc>
          <w:tcPr>
            <w:tcW w:w="346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18"/>
                <w:szCs w:val="18"/>
              </w:rPr>
            </w:pPr>
            <w:r>
              <w:rPr>
                <w:b/>
                <w:sz w:val="18"/>
                <w:szCs w:val="18"/>
              </w:rPr>
              <w:t>Дата подачи</w:t>
            </w:r>
          </w:p>
        </w:tc>
        <w:tc>
          <w:tcPr>
            <w:tcW w:w="366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18"/>
                <w:szCs w:val="18"/>
              </w:rPr>
            </w:pPr>
            <w:r>
              <w:rPr>
                <w:b/>
                <w:sz w:val="18"/>
                <w:szCs w:val="18"/>
              </w:rPr>
              <w:t>Информация о заявителе</w:t>
            </w:r>
          </w:p>
        </w:tc>
        <w:tc>
          <w:tcPr>
            <w:tcW w:w="1951"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18"/>
                <w:szCs w:val="18"/>
              </w:rPr>
            </w:pPr>
            <w:r>
              <w:rPr>
                <w:b/>
                <w:sz w:val="18"/>
                <w:szCs w:val="18"/>
              </w:rPr>
              <w:t>Основание отказа</w:t>
            </w:r>
          </w:p>
        </w:tc>
      </w:tr>
      <w:tr>
        <w:trPr/>
        <w:tc>
          <w:tcPr>
            <w:tcW w:w="346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lang w:val="en-US"/>
              </w:rPr>
            </w:pPr>
            <w:r>
              <w:rPr>
                <w:sz w:val="18"/>
                <w:szCs w:val="18"/>
                <w:lang w:val="en-US"/>
              </w:rPr>
              <w:t xml:space="preserve">   </w:t>
            </w:r>
          </w:p>
        </w:tc>
        <w:tc>
          <w:tcPr>
            <w:tcW w:w="366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pPr>
            <w:r>
              <w:rPr>
                <w:sz w:val="18"/>
                <w:szCs w:val="18"/>
                <w:lang w:val="en-US"/>
              </w:rPr>
              <w:t/>
            </w:r>
          </w:p>
          <w:p>
            <w:pPr>
              <w:pStyle w:val="Tabletext"/>
              <w:spacing w:lineRule="auto" w:line="264"/>
              <w:jc w:val="center"/>
              <w:rPr/>
            </w:pPr>
            <w:r>
              <w:rPr>
                <w:sz w:val="18"/>
                <w:szCs w:val="18"/>
                <w:lang w:val="en-US"/>
              </w:rPr>
              <w:t xml:space="preserve"> </w:t>
            </w:r>
            <w:r>
              <w:rPr>
                <w:sz w:val="18"/>
                <w:szCs w:val="18"/>
                <w:lang w:val="en-US"/>
              </w:rPr>
              <w:t/>
            </w:r>
          </w:p>
        </w:tc>
        <w:tc>
          <w:tcPr>
            <w:tcW w:w="1951"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rPr>
            </w:pPr>
            <w:r>
              <w:rPr>
                <w:b/>
                <w:sz w:val="18"/>
                <w:szCs w:val="18"/>
              </w:rPr>
              <w:t/>
            </w:r>
          </w:p>
        </w:tc>
      </w:tr>
    </w:tbl>
    <w:p>
      <w:pPr>
        <w:pStyle w:val="NormalWeb"/>
        <w:spacing w:before="280" w:after="280"/>
        <w:ind w:left="567" w:hanging="0"/>
        <w:jc w:val="both"/>
        <w:rPr>
          <w:lang w:val="en-US"/>
        </w:rPr>
      </w:pPr>
      <w:r>
        <w:rPr/>
        <w:t>Организатор</w:t>
      </w:r>
      <w:r>
        <w:rPr>
          <w:lang w:val="en-US"/>
        </w:rPr>
        <w:t xml:space="preserve"> </w:t>
      </w:r>
      <w:r>
        <w:rPr/>
        <w:t>торгов</w:t>
      </w:r>
      <w:r>
        <w:rPr>
          <w:lang w:val="en-US"/>
        </w:rPr>
        <w:t xml:space="preserve"> </w:t>
      </w:r>
    </w:p>
    <w:p>
      <w:pPr>
        <w:pStyle w:val="NormalWeb"/>
        <w:spacing w:before="280" w:after="280"/>
        <w:ind w:left="567" w:hanging="0"/>
        <w:jc w:val="both"/>
        <w:rPr>
          <w:b/>
          <w:b/>
          <w:lang w:val="en-US"/>
        </w:rPr>
      </w:pPr>
      <w:r>
        <w:rPr>
          <w:b/>
          <w:lang w:val="en-US"/>
        </w:rPr>
        <w:t xml:space="preserve">(Каюрова Елена Всеволодовна) </w:t>
      </w:r>
    </w:p>
    <w:p>
      <w:pPr>
        <w:pStyle w:val="NormalWeb"/>
        <w:spacing w:lineRule="auto" w:line="264" w:beforeAutospacing="0" w:before="600" w:afterAutospacing="0" w:after="280"/>
        <w:ind w:left="567" w:hanging="0"/>
        <w:jc w:val="both"/>
        <w:rPr>
          <w:lang w:val="en-US"/>
        </w:rPr>
      </w:pPr>
      <w:r>
        <w:rPr>
          <w:lang w:val="en-US"/>
        </w:rPr>
        <w:t>_______________ Каюрова Елена Всеволодовна</w:t>
      </w:r>
    </w:p>
    <w:p>
      <w:pPr>
        <w:pStyle w:val="NormalWeb"/>
        <w:spacing w:before="280" w:after="280"/>
        <w:ind w:firstLine="426"/>
        <w:jc w:val="both"/>
        <w:rPr>
          <w:lang w:val="en-US"/>
        </w:rPr>
      </w:pPr>
      <w:r>
        <w:rPr>
          <w:lang w:val="en-US"/>
        </w:rPr>
      </w:r>
    </w:p>
    <w:p>
      <w:pPr>
        <w:pStyle w:val="Normal"/>
        <w:spacing w:lineRule="auto" w:line="264"/>
        <w:ind w:firstLine="567"/>
        <w:rPr>
          <w:lang w:val="en-US"/>
        </w:rPr>
      </w:pPr>
      <w:r>
        <w:rPr>
          <w:lang w:val="en-US"/>
        </w:rPr>
      </w:r>
    </w:p>
    <w:p>
      <w:pPr>
        <w:pStyle w:val="Normal"/>
        <w:spacing w:lineRule="auto" w:line="264"/>
        <w:ind w:firstLine="567"/>
        <w:rPr>
          <w:lang w:val="en-US"/>
        </w:rPr>
      </w:pPr>
      <w:r>
        <w:rPr/>
      </w:r>
    </w:p>
    <w:sectPr>
      <w:headerReference w:type="default" r:id="rId3"/>
      <w:type w:val="nextPage"/>
      <w:pgSz w:w="11906" w:h="16838"/>
      <w:pgMar w:left="1701" w:right="1134" w:header="708"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swiss"/>
    <w:pitch w:val="variable"/>
  </w:font>
  <w:font w:name="Liberation Mono">
    <w:altName w:val="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3" wp14:anchorId="4C928A1B">
              <wp:simplePos x="0" y="0"/>
              <wp:positionH relativeFrom="column">
                <wp:posOffset>-1066800</wp:posOffset>
              </wp:positionH>
              <wp:positionV relativeFrom="paragraph">
                <wp:posOffset>-439420</wp:posOffset>
              </wp:positionV>
              <wp:extent cx="7563485" cy="10695305"/>
              <wp:effectExtent l="133350" t="133350" r="139700" b="170180"/>
              <wp:wrapNone/>
              <wp:docPr id="2" name="Рисунок 1"/>
              <a:graphic xmlns:a="http://schemas.openxmlformats.org/drawingml/2006/main">
                <a:graphicData uri="http://schemas.openxmlformats.org/drawingml/2006/picture">
                  <pic:pic xmlns:pic="http://schemas.openxmlformats.org/drawingml/2006/picture">
                    <pic:nvPicPr>
                      <pic:cNvPr id="0" name="Рисунок 1" descr=""/>
                      <pic:cNvPicPr/>
                    </pic:nvPicPr>
                    <pic:blipFill>
                      <a:blip r:embed="rId1"/>
                      <a:stretch/>
                    </pic:blipFill>
                    <pic:spPr>
                      <a:xfrm>
                        <a:off x="0" y="0"/>
                        <a:ext cx="7562880" cy="10694520"/>
                      </a:xfrm>
                      <a:prstGeom prst="rect">
                        <a:avLst/>
                      </a:prstGeom>
                      <a:ln w="88920">
                        <a:solidFill>
                          <a:srgbClr val="ffffff"/>
                        </a:solidFill>
                        <a:miter/>
                      </a:ln>
                      <a:effectLst>
                        <a:outerShdw algn="tl" blurRad="55000" dir="5400000" dist="17640" rotWithShape="0">
                          <a:srgbClr val="000000">
                            <a:alpha val="40000"/>
                          </a:srgbClr>
                        </a:outerShdw>
                      </a:effectLst>
                      <a:scene3d>
                        <a:camera prst="orthographicFront"/>
                        <a:lightRig dir="t" rig="twoPt">
                          <a:rot lat="0" lon="0" rev="7200000"/>
                        </a:lightRig>
                      </a:scene3d>
                      <a:sp3d>
                        <a:bevelT w="25400" h="19050"/>
                        <a:contourClr>
                          <a:srgbClr val="ffffff"/>
                        </a:contourClr>
                      </a:sp3d>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1" stroked="t" style="position:absolute;margin-left:-84pt;margin-top:-34.6pt;width:595.45pt;height:842.05pt" wp14:anchorId="4C928A1B" type="shapetype_75">
              <v:imagedata r:id="rId1" o:detectmouseclick="t"/>
              <w10:wrap type="none"/>
              <v:stroke color="white" weight="88920" joinstyle="miter" endcap="flat"/>
              <v:shadow on="t" obscured="f" color="black"/>
            </v:shape>
          </w:pict>
        </mc:Fallback>
      </mc:AlternateContent>
    </w:r>
  </w:p>
</w:hdr>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before="0" w:after="0"/>
      <w:jc w:val="both"/>
    </w:pPr>
    <w:rPr>
      <w:rFonts w:eastAsia="" w:eastAsiaTheme="minorEastAsia" w:ascii="Times New Roman" w:hAnsi="Times New Roman" w:cs="Times New Roman"/>
      <w:color w:val="00000A"/>
      <w:kern w:val="0"/>
      <w:sz w:val="24"/>
      <w:szCs w:val="24"/>
      <w:lang w:val="ru-RU" w:eastAsia="ru-RU" w:bidi="ar-SA"/>
    </w:rPr>
  </w:style>
  <w:style w:type="paragraph" w:styleId="Heading1">
    <w:name w:val="Heading 1"/>
    <w:basedOn w:val="Normal"/>
    <w:link w:val="10"/>
    <w:uiPriority w:val="9"/>
    <w:qFormat/>
    <w:pPr>
      <w:keepNext w:val="true"/>
      <w:spacing w:lineRule="auto" w:line="480" w:before="240" w:after="60"/>
      <w:ind w:firstLine="737"/>
      <w:jc w:val="center"/>
      <w:outlineLvl w:val="0"/>
    </w:pPr>
    <w:rPr>
      <w:b/>
      <w:bCs/>
      <w:kern w:val="2"/>
      <w:sz w:val="32"/>
      <w:szCs w:val="32"/>
    </w:rPr>
  </w:style>
  <w:style w:type="paragraph" w:styleId="Heading2">
    <w:name w:val="Heading 2"/>
    <w:basedOn w:val="Normal"/>
    <w:link w:val="20"/>
    <w:uiPriority w:val="9"/>
    <w:qFormat/>
    <w:pPr>
      <w:keepNext w:val="true"/>
      <w:spacing w:before="480" w:after="240"/>
      <w:ind w:left="567" w:firstLine="737"/>
      <w:outlineLvl w:val="1"/>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uiPriority w:val="99"/>
    <w:unhideWhenUsed/>
    <w:qFormat/>
    <w:rPr>
      <w:color w:val="0000FF"/>
      <w:u w:val="single"/>
    </w:rPr>
  </w:style>
  <w:style w:type="character" w:styleId="VisitedInternetLink">
    <w:name w:val="FollowedHyperlink"/>
    <w:basedOn w:val="DefaultParagraphFont"/>
    <w:uiPriority w:val="99"/>
    <w:semiHidden/>
    <w:unhideWhenUsed/>
    <w:qFormat/>
    <w:rPr>
      <w:color w:val="0000FF"/>
      <w:u w:val="single"/>
    </w:rPr>
  </w:style>
  <w:style w:type="character" w:styleId="1" w:customStyle="1">
    <w:name w:val="Заголовок 1 Знак"/>
    <w:basedOn w:val="DefaultParagraphFont"/>
    <w:link w:val="1"/>
    <w:uiPriority w:val="9"/>
    <w:qFormat/>
    <w:rPr>
      <w:rFonts w:ascii="Calibri Light" w:hAnsi="Calibri Light" w:eastAsia="" w:cs="" w:asciiTheme="majorHAnsi" w:cstheme="majorBidi" w:eastAsiaTheme="majorEastAsia" w:hAnsiTheme="majorHAnsi"/>
      <w:color w:val="2F5496" w:themeColor="accent1" w:themeShade="bf"/>
      <w:sz w:val="32"/>
      <w:szCs w:val="32"/>
    </w:rPr>
  </w:style>
  <w:style w:type="character" w:styleId="2" w:customStyle="1">
    <w:name w:val="Заголовок 2 Знак"/>
    <w:basedOn w:val="DefaultParagraphFont"/>
    <w:link w:val="2"/>
    <w:uiPriority w:val="9"/>
    <w:semiHidden/>
    <w:qFormat/>
    <w:rPr>
      <w:rFonts w:ascii="Calibri Light" w:hAnsi="Calibri Light" w:eastAsia="" w:cs="" w:asciiTheme="majorHAnsi" w:cstheme="majorBidi" w:eastAsiaTheme="majorEastAsia" w:hAnsiTheme="majorHAnsi"/>
      <w:color w:val="2F5496" w:themeColor="accent1" w:themeShade="bf"/>
      <w:sz w:val="26"/>
      <w:szCs w:val="26"/>
    </w:rPr>
  </w:style>
  <w:style w:type="character" w:styleId="Style13" w:customStyle="1">
    <w:name w:val="Заголовок Знак"/>
    <w:basedOn w:val="DefaultParagraphFont"/>
    <w:uiPriority w:val="10"/>
    <w:qFormat/>
    <w:rPr>
      <w:rFonts w:ascii="Calibri Light" w:hAnsi="Calibri Light" w:eastAsia="" w:cs="" w:asciiTheme="majorHAnsi" w:cstheme="majorBidi" w:eastAsiaTheme="majorEastAsia" w:hAnsiTheme="majorHAnsi"/>
      <w:spacing w:val="-10"/>
      <w:kern w:val="2"/>
      <w:sz w:val="56"/>
      <w:szCs w:val="56"/>
    </w:rPr>
  </w:style>
  <w:style w:type="character" w:styleId="Style14" w:customStyle="1">
    <w:name w:val="Основной текст Знак"/>
    <w:basedOn w:val="DefaultParagraphFont"/>
    <w:uiPriority w:val="99"/>
    <w:semiHidden/>
    <w:qFormat/>
    <w:rPr>
      <w:rFonts w:eastAsia="" w:eastAsiaTheme="minorEastAsia"/>
      <w:sz w:val="24"/>
      <w:szCs w:val="24"/>
    </w:rPr>
  </w:style>
  <w:style w:type="character" w:styleId="Style15" w:customStyle="1">
    <w:name w:val="Основной текст с отступом Знак"/>
    <w:basedOn w:val="DefaultParagraphFont"/>
    <w:uiPriority w:val="99"/>
    <w:semiHidden/>
    <w:qFormat/>
    <w:rPr>
      <w:rFonts w:eastAsia="" w:eastAsiaTheme="minorEastAsia"/>
      <w:sz w:val="24"/>
      <w:szCs w:val="24"/>
    </w:rPr>
  </w:style>
  <w:style w:type="character" w:styleId="Style16" w:customStyle="1">
    <w:name w:val="Верхний колонтитул Знак"/>
    <w:basedOn w:val="DefaultParagraphFont"/>
    <w:uiPriority w:val="99"/>
    <w:qFormat/>
    <w:rsid w:val="00b473ec"/>
    <w:rPr>
      <w:rFonts w:eastAsia="" w:eastAsiaTheme="minorEastAsia"/>
      <w:sz w:val="24"/>
      <w:szCs w:val="24"/>
    </w:rPr>
  </w:style>
  <w:style w:type="character" w:styleId="Style17" w:customStyle="1">
    <w:name w:val="Нижний колонтитул Знак"/>
    <w:basedOn w:val="DefaultParagraphFont"/>
    <w:uiPriority w:val="99"/>
    <w:qFormat/>
    <w:rsid w:val="00b473ec"/>
    <w:rPr>
      <w:rFonts w:eastAsia="" w:eastAsiaTheme="minorEastAsia"/>
      <w:sz w:val="24"/>
      <w:szCs w:val="24"/>
    </w:rPr>
  </w:style>
  <w:style w:type="character" w:styleId="UnresolvedMention">
    <w:name w:val="Unresolved Mention"/>
    <w:basedOn w:val="DefaultParagraphFont"/>
    <w:uiPriority w:val="99"/>
    <w:semiHidden/>
    <w:unhideWhenUsed/>
    <w:qFormat/>
    <w:rsid w:val="00d9376f"/>
    <w:rPr>
      <w:color w:val="808080"/>
      <w:shd w:fill="E6E6E6" w:val="clear"/>
    </w:rPr>
  </w:style>
  <w:style w:type="character" w:styleId="Annotationreference">
    <w:name w:val="annotation reference"/>
    <w:basedOn w:val="DefaultParagraphFont"/>
    <w:uiPriority w:val="99"/>
    <w:semiHidden/>
    <w:unhideWhenUsed/>
    <w:qFormat/>
    <w:rsid w:val="006f1354"/>
    <w:rPr>
      <w:sz w:val="16"/>
      <w:szCs w:val="16"/>
    </w:rPr>
  </w:style>
  <w:style w:type="character" w:styleId="Style18" w:customStyle="1">
    <w:name w:val="Текст примечания Знак"/>
    <w:basedOn w:val="DefaultParagraphFont"/>
    <w:uiPriority w:val="99"/>
    <w:semiHidden/>
    <w:qFormat/>
    <w:rsid w:val="006f1354"/>
    <w:rPr>
      <w:rFonts w:eastAsia="" w:eastAsiaTheme="minorEastAsia"/>
    </w:rPr>
  </w:style>
  <w:style w:type="character" w:styleId="Style19" w:customStyle="1">
    <w:name w:val="Тема примечания Знак"/>
    <w:basedOn w:val="Style18"/>
    <w:uiPriority w:val="99"/>
    <w:semiHidden/>
    <w:qFormat/>
    <w:rsid w:val="006f1354"/>
    <w:rPr>
      <w:rFonts w:eastAsia="" w:eastAsiaTheme="minorEastAsia"/>
      <w:b/>
      <w:bCs/>
    </w:rPr>
  </w:style>
  <w:style w:type="character" w:styleId="Style20" w:customStyle="1">
    <w:name w:val="Текст выноски Знак"/>
    <w:basedOn w:val="DefaultParagraphFont"/>
    <w:uiPriority w:val="99"/>
    <w:semiHidden/>
    <w:qFormat/>
    <w:rsid w:val="006f1354"/>
    <w:rPr>
      <w:rFonts w:ascii="Segoe UI" w:hAnsi="Segoe UI" w:eastAsia="" w:cs="Segoe UI" w:eastAsiaTheme="minorEastAsia"/>
      <w:sz w:val="18"/>
      <w:szCs w:val="18"/>
    </w:rPr>
  </w:style>
  <w:style w:type="character" w:styleId="Style21" w:customStyle="1">
    <w:name w:val="Посещённая гиперссылка"/>
    <w:qFormat/>
    <w:rPr>
      <w:color w:val="80000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99"/>
    <w:semiHidden/>
    <w:unhideWhenUsed/>
    <w:pPr>
      <w:spacing w:lineRule="auto" w:line="360" w:beforeAutospacing="1" w:afterAutospacing="1"/>
      <w:ind w:firstLine="737"/>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TextBody"/>
    <w:uiPriority w:val="10"/>
    <w:qFormat/>
    <w:pPr>
      <w:keepNext w:val="true"/>
      <w:spacing w:lineRule="auto" w:line="480" w:before="240" w:after="60"/>
      <w:ind w:firstLine="737"/>
      <w:jc w:val="center"/>
    </w:pPr>
    <w:rPr>
      <w:b/>
      <w:bCs/>
      <w:sz w:val="36"/>
      <w:szCs w:val="36"/>
    </w:rPr>
  </w:style>
  <w:style w:type="paragraph" w:styleId="Caption1">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Msonormal" w:customStyle="1">
    <w:name w:val="msonormal"/>
    <w:basedOn w:val="Normal"/>
    <w:qFormat/>
    <w:pPr>
      <w:spacing w:beforeAutospacing="1" w:afterAutospacing="1"/>
      <w:jc w:val="left"/>
    </w:pPr>
    <w:rPr/>
  </w:style>
  <w:style w:type="paragraph" w:styleId="ListParagraph">
    <w:name w:val="List Paragraph"/>
    <w:basedOn w:val="Normal"/>
    <w:uiPriority w:val="34"/>
    <w:qFormat/>
    <w:pPr>
      <w:spacing w:beforeAutospacing="1" w:afterAutospacing="1"/>
      <w:ind w:left="360" w:hanging="360"/>
      <w:jc w:val="left"/>
    </w:pPr>
    <w:rPr>
      <w:b/>
      <w:bCs/>
    </w:rPr>
  </w:style>
  <w:style w:type="paragraph" w:styleId="TextBodyIndent">
    <w:name w:val="Body Text Indent"/>
    <w:basedOn w:val="Normal"/>
    <w:uiPriority w:val="99"/>
    <w:semiHidden/>
    <w:unhideWhenUsed/>
    <w:pPr>
      <w:spacing w:lineRule="auto" w:line="360" w:beforeAutospacing="1" w:afterAutospacing="1"/>
      <w:ind w:firstLine="737"/>
    </w:pPr>
    <w:rPr/>
  </w:style>
  <w:style w:type="paragraph" w:styleId="Tabletext" w:customStyle="1">
    <w:name w:val="tabletext"/>
    <w:basedOn w:val="Normal"/>
    <w:qFormat/>
    <w:pPr>
      <w:jc w:val="left"/>
    </w:pPr>
    <w:rPr/>
  </w:style>
  <w:style w:type="paragraph" w:styleId="Tablehead" w:customStyle="1">
    <w:name w:val="tablehead"/>
    <w:basedOn w:val="Normal"/>
    <w:qFormat/>
    <w:pPr>
      <w:jc w:val="left"/>
    </w:pPr>
    <w:rPr>
      <w:b/>
      <w:bCs/>
    </w:rPr>
  </w:style>
  <w:style w:type="paragraph" w:styleId="Paragraph" w:customStyle="1">
    <w:name w:val="paragraph"/>
    <w:basedOn w:val="Normal"/>
    <w:qFormat/>
    <w:pPr>
      <w:ind w:firstLine="567"/>
      <w:jc w:val="left"/>
    </w:pPr>
    <w:rPr>
      <w:b/>
      <w:bCs/>
    </w:rPr>
  </w:style>
  <w:style w:type="paragraph" w:styleId="Paragraphtext" w:customStyle="1">
    <w:name w:val="paragraphtext"/>
    <w:basedOn w:val="Normal"/>
    <w:qFormat/>
    <w:pPr>
      <w:ind w:firstLine="567"/>
    </w:pPr>
    <w:rPr/>
  </w:style>
  <w:style w:type="paragraph" w:styleId="Paragraphtextwithoutindent" w:customStyle="1">
    <w:name w:val="paragraphtextwithoutindent"/>
    <w:basedOn w:val="Normal"/>
    <w:qFormat/>
    <w:pPr/>
    <w:rPr/>
  </w:style>
  <w:style w:type="paragraph" w:styleId="Paragraphlist" w:customStyle="1">
    <w:name w:val="paragraphlist"/>
    <w:basedOn w:val="Normal"/>
    <w:qFormat/>
    <w:pPr>
      <w:spacing w:beforeAutospacing="1" w:afterAutospacing="1"/>
    </w:pPr>
    <w:rPr/>
  </w:style>
  <w:style w:type="paragraph" w:styleId="Questiontext" w:customStyle="1">
    <w:name w:val="questiontext"/>
    <w:basedOn w:val="Normal"/>
    <w:qFormat/>
    <w:pPr>
      <w:ind w:left="-567" w:right="-567" w:firstLine="567"/>
    </w:pPr>
    <w:rPr/>
  </w:style>
  <w:style w:type="paragraph" w:styleId="Committee" w:customStyle="1">
    <w:name w:val="committee"/>
    <w:basedOn w:val="Normal"/>
    <w:qFormat/>
    <w:pPr>
      <w:ind w:firstLine="567"/>
    </w:pPr>
    <w:rPr/>
  </w:style>
  <w:style w:type="paragraph" w:styleId="Committeename" w:customStyle="1">
    <w:name w:val="committeename"/>
    <w:basedOn w:val="Normal"/>
    <w:qFormat/>
    <w:pPr>
      <w:jc w:val="left"/>
    </w:pPr>
    <w:rPr/>
  </w:style>
  <w:style w:type="paragraph" w:styleId="Committeesignaturename" w:customStyle="1">
    <w:name w:val="committeesignaturename"/>
    <w:basedOn w:val="Normal"/>
    <w:qFormat/>
    <w:pPr>
      <w:spacing w:beforeAutospacing="1" w:afterAutospacing="1"/>
      <w:jc w:val="left"/>
    </w:pPr>
    <w:rPr/>
  </w:style>
  <w:style w:type="paragraph" w:styleId="Committeesignature" w:customStyle="1">
    <w:name w:val="committeesignature"/>
    <w:basedOn w:val="Normal"/>
    <w:qFormat/>
    <w:pPr>
      <w:spacing w:beforeAutospacing="1" w:afterAutospacing="1"/>
      <w:ind w:left="1134" w:hanging="567"/>
      <w:jc w:val="left"/>
    </w:pPr>
    <w:rPr/>
  </w:style>
  <w:style w:type="paragraph" w:styleId="Noticeparagraphtext" w:customStyle="1">
    <w:name w:val="noticeparagraphtext"/>
    <w:basedOn w:val="Normal"/>
    <w:qFormat/>
    <w:pPr>
      <w:ind w:firstLine="567"/>
    </w:pPr>
    <w:rPr>
      <w:sz w:val="28"/>
      <w:szCs w:val="28"/>
    </w:rPr>
  </w:style>
  <w:style w:type="paragraph" w:styleId="NormalWeb">
    <w:name w:val="Normal (Web)"/>
    <w:basedOn w:val="Normal"/>
    <w:uiPriority w:val="99"/>
    <w:unhideWhenUsed/>
    <w:qFormat/>
    <w:pPr>
      <w:spacing w:beforeAutospacing="1" w:afterAutospacing="1"/>
      <w:jc w:val="left"/>
    </w:pPr>
    <w:rPr/>
  </w:style>
  <w:style w:type="paragraph" w:styleId="Style22" w:customStyle="1">
    <w:name w:val="Содержимое таблицы"/>
    <w:basedOn w:val="Normal"/>
    <w:qFormat/>
    <w:rsid w:val="002b17d7"/>
    <w:pPr>
      <w:suppressLineNumbers/>
      <w:suppressAutoHyphens w:val="true"/>
      <w:jc w:val="left"/>
    </w:pPr>
    <w:rPr>
      <w:rFonts w:eastAsia="Times New Roman"/>
      <w:lang w:eastAsia="zh-CN"/>
    </w:rPr>
  </w:style>
  <w:style w:type="paragraph" w:styleId="HeaderandFooter">
    <w:name w:val="Header and Footer"/>
    <w:basedOn w:val="Normal"/>
    <w:qFormat/>
    <w:pPr/>
    <w:rPr/>
  </w:style>
  <w:style w:type="paragraph" w:styleId="Header">
    <w:name w:val="Header"/>
    <w:basedOn w:val="Normal"/>
    <w:uiPriority w:val="99"/>
    <w:unhideWhenUsed/>
    <w:rsid w:val="00b473ec"/>
    <w:pPr>
      <w:tabs>
        <w:tab w:val="clear" w:pos="720"/>
        <w:tab w:val="center" w:pos="4677" w:leader="none"/>
        <w:tab w:val="right" w:pos="9355" w:leader="none"/>
      </w:tabs>
    </w:pPr>
    <w:rPr/>
  </w:style>
  <w:style w:type="paragraph" w:styleId="Footer">
    <w:name w:val="Footer"/>
    <w:basedOn w:val="Normal"/>
    <w:uiPriority w:val="99"/>
    <w:unhideWhenUsed/>
    <w:rsid w:val="00b473ec"/>
    <w:pPr>
      <w:tabs>
        <w:tab w:val="clear" w:pos="720"/>
        <w:tab w:val="center" w:pos="4677" w:leader="none"/>
        <w:tab w:val="right" w:pos="9355" w:leader="none"/>
      </w:tabs>
    </w:pPr>
    <w:rPr/>
  </w:style>
  <w:style w:type="paragraph" w:styleId="Annotationtext">
    <w:name w:val="annotation text"/>
    <w:basedOn w:val="Normal"/>
    <w:uiPriority w:val="99"/>
    <w:semiHidden/>
    <w:unhideWhenUsed/>
    <w:qFormat/>
    <w:rsid w:val="006f1354"/>
    <w:pPr/>
    <w:rPr>
      <w:sz w:val="20"/>
      <w:szCs w:val="20"/>
    </w:rPr>
  </w:style>
  <w:style w:type="paragraph" w:styleId="Annotationsubject">
    <w:name w:val="annotation subject"/>
    <w:basedOn w:val="Annotationtext"/>
    <w:uiPriority w:val="99"/>
    <w:semiHidden/>
    <w:unhideWhenUsed/>
    <w:qFormat/>
    <w:rsid w:val="006f1354"/>
    <w:pPr/>
    <w:rPr>
      <w:b/>
      <w:bCs/>
    </w:rPr>
  </w:style>
  <w:style w:type="paragraph" w:styleId="BalloonText">
    <w:name w:val="Balloon Text"/>
    <w:basedOn w:val="Normal"/>
    <w:uiPriority w:val="99"/>
    <w:semiHidden/>
    <w:unhideWhenUsed/>
    <w:qFormat/>
    <w:rsid w:val="006f1354"/>
    <w:pPr/>
    <w:rPr>
      <w:rFonts w:ascii="Segoe UI" w:hAnsi="Segoe UI" w:cs="Segoe UI"/>
      <w:sz w:val="18"/>
      <w:szCs w:val="18"/>
    </w:rPr>
  </w:style>
  <w:style w:type="paragraph" w:styleId="Style23" w:customStyle="1">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Application>LibreOffice/6.4.4.2$Linux_X86_64 LibreOffice_project/40$Build-2</Application>
  <Pages>2</Pages>
  <Words>197</Words>
  <Characters>1740</Characters>
  <CharactersWithSpaces>1900</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2018-02-15T22:24:00Z</dcterms:created>
  <dc:creator>Boss</dc:creator>
  <dc:description/>
  <dc:language>ru-RU</dc:language>
  <cp:lastModifiedBy/>
  <dcterms:modified xsi:type="dcterms:W3CDTF">2020-08-20T16:18:25Z</dcterms:modified>
  <cp:revision>34</cp:revision>
  <dc:subject/>
  <dc:title>«УТВЕРЖДАЮ»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