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5C6" w:rsidRDefault="005456EC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05C6" w:rsidRDefault="009005C6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9005C6" w:rsidRDefault="009005C6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9005C6" w:rsidRDefault="005456EC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6652–ОАОФ/1/1</w:t>
      </w:r>
    </w:p>
    <w:p w:rsidR="009005C6" w:rsidRDefault="005456E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:rsidR="009005C6" w:rsidRDefault="005456E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 w:rsidR="009005C6" w:rsidRDefault="009005C6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:rsidR="009005C6" w:rsidRDefault="005456EC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февраля 2023 года.</w:t>
      </w:r>
    </w:p>
    <w:p w:rsidR="009005C6" w:rsidRDefault="009005C6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9005C6" w:rsidRDefault="005456E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9005C6" w:rsidRDefault="005456EC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:rsidR="009005C6" w:rsidRDefault="005456E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9005C6" w:rsidRDefault="005456EC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металлургии "Мотовилихинские заводы";</w:t>
      </w:r>
    </w:p>
    <w:p w:rsidR="009005C6" w:rsidRDefault="005456E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9005C6" w:rsidRDefault="005456EC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Земельный участок под трансформаторную подстанцию, категория земель: земли населенных пунктов, площадь 124 кв.м, кадастровый номер 59:01:3919185:363, виды разрешенного использования: ЭП, РС, РП, ВНС, КНС, ЦТП, ТП, ГРУ площадью более 100 кв. м, предназначенные для обслуживания линейных объектов, на отдельном земельном участке, адрес: Пермский край, г. Пермь, Мотовилихинский район, в </w:t>
      </w:r>
      <w:proofErr w:type="spellStart"/>
      <w:r>
        <w:rPr>
          <w:rFonts w:eastAsia="Times New Roman"/>
        </w:rPr>
        <w:t>промзоне</w:t>
      </w:r>
      <w:proofErr w:type="spellEnd"/>
      <w:r>
        <w:rPr>
          <w:rFonts w:eastAsia="Times New Roman"/>
        </w:rPr>
        <w:t xml:space="preserve"> 2.</w:t>
      </w:r>
    </w:p>
    <w:p w:rsidR="009005C6" w:rsidRDefault="005456E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9005C6" w:rsidRDefault="005456EC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270 000.00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9005C6" w:rsidRDefault="005456E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9005C6" w:rsidRDefault="005456EC">
      <w:pPr>
        <w:spacing w:after="120" w:line="264" w:lineRule="auto"/>
        <w:ind w:firstLine="567"/>
      </w:pPr>
      <w:r>
        <w:t>А50-16153/2017.</w:t>
      </w:r>
    </w:p>
    <w:p w:rsidR="009005C6" w:rsidRDefault="005456E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9005C6" w:rsidRDefault="005456EC">
      <w:pPr>
        <w:spacing w:after="120" w:line="264" w:lineRule="auto"/>
        <w:ind w:firstLine="567"/>
      </w:pPr>
      <w:r>
        <w:t>Арбитражный суд Пермского края.</w:t>
      </w:r>
      <w:bookmarkStart w:id="3" w:name="_Hlk38153501"/>
      <w:bookmarkEnd w:id="3"/>
    </w:p>
    <w:p w:rsidR="009005C6" w:rsidRDefault="005456E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9005C6" w:rsidRDefault="005456EC">
      <w:pPr>
        <w:spacing w:after="120" w:line="264" w:lineRule="auto"/>
        <w:ind w:firstLine="567"/>
      </w:pPr>
      <w:r>
        <w:t>ПАО Специального машиностроения металлургии "Мотовилихинские заводы".</w:t>
      </w:r>
    </w:p>
    <w:p w:rsidR="009005C6" w:rsidRDefault="005456E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9005C6" w:rsidRPr="00742AC7" w:rsidRDefault="005456EC">
      <w:pPr>
        <w:spacing w:after="120" w:line="264" w:lineRule="auto"/>
        <w:ind w:firstLine="567"/>
      </w:pPr>
      <w:r w:rsidRPr="00742AC7">
        <w:t>Берсенев Андрей Александрович.</w:t>
      </w:r>
      <w:bookmarkStart w:id="5" w:name="_Hlk37882833"/>
      <w:bookmarkEnd w:id="5"/>
    </w:p>
    <w:p w:rsidR="009005C6" w:rsidRPr="00742AC7" w:rsidRDefault="005456EC">
      <w:pPr>
        <w:spacing w:before="120" w:after="120" w:line="264" w:lineRule="auto"/>
        <w:ind w:firstLine="215"/>
        <w:rPr>
          <w:b/>
          <w:bCs/>
        </w:rPr>
      </w:pPr>
      <w:r w:rsidRPr="00742AC7">
        <w:rPr>
          <w:b/>
          <w:bCs/>
        </w:rPr>
        <w:t xml:space="preserve">9. </w:t>
      </w:r>
      <w:r>
        <w:rPr>
          <w:b/>
          <w:bCs/>
        </w:rPr>
        <w:t>Организатор</w:t>
      </w:r>
      <w:r w:rsidRPr="00742AC7">
        <w:rPr>
          <w:b/>
          <w:bCs/>
        </w:rPr>
        <w:t xml:space="preserve"> </w:t>
      </w:r>
      <w:r>
        <w:rPr>
          <w:b/>
          <w:bCs/>
        </w:rPr>
        <w:t>торгов</w:t>
      </w:r>
      <w:r w:rsidRPr="00742AC7">
        <w:rPr>
          <w:b/>
          <w:bCs/>
        </w:rPr>
        <w:t xml:space="preserve"> </w:t>
      </w:r>
    </w:p>
    <w:p w:rsidR="009005C6" w:rsidRPr="00742AC7" w:rsidRDefault="005456EC">
      <w:pPr>
        <w:spacing w:after="120" w:line="264" w:lineRule="auto"/>
        <w:ind w:firstLine="567"/>
      </w:pPr>
      <w:r w:rsidRPr="00742AC7">
        <w:t>Берсенев Андрей Александрович.</w:t>
      </w:r>
    </w:p>
    <w:p w:rsidR="009005C6" w:rsidRDefault="005456E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9005C6" w:rsidRDefault="005456EC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9005C6" w:rsidRDefault="005456EC">
      <w:pPr>
        <w:spacing w:after="120" w:line="264" w:lineRule="auto"/>
        <w:ind w:left="567"/>
        <w:rPr>
          <w:color w:val="800000"/>
          <w:u w:val="single"/>
        </w:rPr>
      </w:pPr>
      <w:r>
        <w:lastRenderedPageBreak/>
        <w:t xml:space="preserve">Место проведения торгов: «Всероссийская Электронная Торговая Площадка», адрес в сети интернет: </w:t>
      </w:r>
    </w:p>
    <w:p w:rsidR="009005C6" w:rsidRDefault="005456E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представления заявок на участие</w:t>
      </w:r>
      <w:bookmarkEnd w:id="6"/>
      <w:r>
        <w:rPr>
          <w:b/>
          <w:bCs/>
        </w:rPr>
        <w:t xml:space="preserve"> в торгах</w:t>
      </w:r>
    </w:p>
    <w:p w:rsidR="009005C6" w:rsidRDefault="005456EC">
      <w:pPr>
        <w:spacing w:after="120" w:line="264" w:lineRule="auto"/>
        <w:ind w:left="142" w:firstLine="425"/>
      </w:pPr>
      <w:r>
        <w:t>Дата начала представления заявок: «26» декабря 2022г. 12:00:00</w:t>
      </w:r>
    </w:p>
    <w:p w:rsidR="009005C6" w:rsidRDefault="005456EC">
      <w:pPr>
        <w:spacing w:after="120" w:line="264" w:lineRule="auto"/>
        <w:ind w:left="142" w:firstLine="425"/>
      </w:pPr>
      <w:r>
        <w:t>Дата окончания представления заявок: «03» февраля 2023г. 16:00:00</w:t>
      </w:r>
      <w:bookmarkStart w:id="7" w:name="_Hlk38153468"/>
      <w:bookmarkStart w:id="8" w:name="_Hlk38027018"/>
      <w:bookmarkEnd w:id="7"/>
      <w:bookmarkEnd w:id="8"/>
    </w:p>
    <w:p w:rsidR="009005C6" w:rsidRDefault="005456E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9005C6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005C6" w:rsidRDefault="005456E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005C6" w:rsidRDefault="005456E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005C6" w:rsidRDefault="005456E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9005C6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005C6" w:rsidRDefault="005456E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</w:t>
            </w:r>
            <w:proofErr w:type="spellStart"/>
            <w:r>
              <w:rPr>
                <w:sz w:val="18"/>
                <w:szCs w:val="18"/>
                <w:lang w:val="en-US"/>
              </w:rPr>
              <w:t>января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06:49:50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42AC7" w:rsidRPr="00072166" w:rsidRDefault="00742AC7" w:rsidP="00742AC7">
            <w:pPr>
              <w:pStyle w:val="tabletext"/>
              <w:spacing w:line="264" w:lineRule="auto"/>
              <w:jc w:val="center"/>
              <w:rPr>
                <w:sz w:val="18"/>
                <w:szCs w:val="18"/>
              </w:rPr>
            </w:pPr>
            <w:r w:rsidRPr="009D5727">
              <w:rPr>
                <w:sz w:val="18"/>
                <w:szCs w:val="18"/>
              </w:rPr>
              <w:t>Общество с ограниченной ответственностью "Доходные услуги"</w:t>
            </w:r>
            <w:r w:rsidRPr="00072166">
              <w:rPr>
                <w:sz w:val="18"/>
                <w:szCs w:val="18"/>
              </w:rPr>
              <w:t xml:space="preserve"> (</w:t>
            </w:r>
            <w:r w:rsidRPr="009D5727">
              <w:rPr>
                <w:sz w:val="18"/>
                <w:szCs w:val="18"/>
              </w:rPr>
              <w:t>ОГРН:1155958065010</w:t>
            </w:r>
            <w:r w:rsidRPr="00072166">
              <w:rPr>
                <w:sz w:val="18"/>
                <w:szCs w:val="18"/>
              </w:rPr>
              <w:t>),</w:t>
            </w:r>
          </w:p>
          <w:p w:rsidR="009005C6" w:rsidRDefault="00742AC7" w:rsidP="00742AC7">
            <w:pPr>
              <w:pStyle w:val="tabletext"/>
              <w:spacing w:line="264" w:lineRule="auto"/>
              <w:jc w:val="center"/>
            </w:pPr>
            <w:r w:rsidRPr="00072166">
              <w:rPr>
                <w:sz w:val="18"/>
                <w:szCs w:val="18"/>
              </w:rPr>
              <w:t>действу</w:t>
            </w:r>
            <w:bookmarkStart w:id="10" w:name="_GoBack"/>
            <w:bookmarkEnd w:id="10"/>
            <w:r w:rsidRPr="00072166">
              <w:rPr>
                <w:sz w:val="18"/>
                <w:szCs w:val="18"/>
              </w:rPr>
              <w:t xml:space="preserve">ющее в </w:t>
            </w:r>
            <w:r w:rsidRPr="009D5727">
              <w:rPr>
                <w:sz w:val="18"/>
                <w:szCs w:val="18"/>
              </w:rPr>
              <w:t xml:space="preserve">качестве Агента в интересах </w:t>
            </w:r>
            <w:r w:rsidRPr="009D5727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Медведевой Елены Игоревны на основании Агентского договора № 1 от 25.04.2022 и Поручения принципала № 1 от 28.01.2023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005C6" w:rsidRDefault="005456E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 w:rsidR="009005C6" w:rsidRDefault="005456E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9005C6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005C6" w:rsidRDefault="005456E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005C6" w:rsidRDefault="005456E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9005C6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005C6" w:rsidRDefault="005456E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</w:t>
            </w:r>
            <w:proofErr w:type="spellStart"/>
            <w:r>
              <w:rPr>
                <w:sz w:val="18"/>
                <w:szCs w:val="18"/>
                <w:lang w:val="en-US"/>
              </w:rPr>
              <w:t>января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06:49:50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42AC7" w:rsidRDefault="00742AC7" w:rsidP="00742AC7">
            <w:pPr>
              <w:pStyle w:val="tabletext"/>
              <w:spacing w:line="264" w:lineRule="auto"/>
              <w:jc w:val="center"/>
            </w:pPr>
            <w:r w:rsidRPr="009D5727">
              <w:rPr>
                <w:sz w:val="18"/>
                <w:szCs w:val="18"/>
              </w:rPr>
              <w:t>Общество с ограниченной ответственностью "Доходные услуги"</w:t>
            </w:r>
          </w:p>
          <w:p w:rsidR="009005C6" w:rsidRDefault="00742AC7" w:rsidP="00742AC7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</w:rPr>
              <w:t>(</w:t>
            </w:r>
            <w:r w:rsidRPr="009D5727">
              <w:rPr>
                <w:sz w:val="18"/>
                <w:szCs w:val="18"/>
              </w:rPr>
              <w:t>ОГРН:1155958065010</w:t>
            </w:r>
            <w:r>
              <w:rPr>
                <w:sz w:val="18"/>
                <w:szCs w:val="18"/>
              </w:rPr>
              <w:t xml:space="preserve">), </w:t>
            </w:r>
            <w:r w:rsidRPr="00072166">
              <w:rPr>
                <w:sz w:val="18"/>
                <w:szCs w:val="18"/>
              </w:rPr>
              <w:t xml:space="preserve">действующее в </w:t>
            </w:r>
            <w:r w:rsidRPr="0061709E">
              <w:rPr>
                <w:sz w:val="18"/>
                <w:szCs w:val="18"/>
              </w:rPr>
              <w:t xml:space="preserve">качестве Агента в интересах </w:t>
            </w:r>
            <w:r w:rsidRPr="0061709E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Медведевой Елены Игоревны на основании Агентского договора № 1 от 25.04.2022 и Поручения принципала № 1 от 28.01.2023</w:t>
            </w:r>
          </w:p>
        </w:tc>
      </w:tr>
    </w:tbl>
    <w:p w:rsidR="009005C6" w:rsidRDefault="005456E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9005C6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005C6" w:rsidRDefault="005456E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005C6" w:rsidRDefault="005456E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005C6" w:rsidRDefault="005456E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9005C6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005C6" w:rsidRDefault="005456E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005C6" w:rsidRDefault="009005C6">
            <w:pPr>
              <w:pStyle w:val="tabletext"/>
              <w:spacing w:line="264" w:lineRule="auto"/>
              <w:jc w:val="center"/>
            </w:pPr>
          </w:p>
          <w:p w:rsidR="009005C6" w:rsidRDefault="005456E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005C6" w:rsidRDefault="009005C6">
            <w:pPr>
              <w:pStyle w:val="tabletext"/>
              <w:spacing w:line="264" w:lineRule="auto"/>
              <w:jc w:val="center"/>
              <w:rPr>
                <w:b/>
              </w:rPr>
            </w:pPr>
          </w:p>
        </w:tc>
      </w:tr>
    </w:tbl>
    <w:p w:rsidR="009005C6" w:rsidRDefault="005456EC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9005C6" w:rsidRDefault="005456EC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 xml:space="preserve">(Берсенев </w:t>
      </w:r>
      <w:proofErr w:type="spellStart"/>
      <w:r>
        <w:rPr>
          <w:b/>
          <w:lang w:val="en-US"/>
        </w:rPr>
        <w:t>Андрей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Александрович</w:t>
      </w:r>
      <w:proofErr w:type="spellEnd"/>
      <w:r>
        <w:rPr>
          <w:b/>
          <w:lang w:val="en-US"/>
        </w:rPr>
        <w:t xml:space="preserve">) </w:t>
      </w:r>
    </w:p>
    <w:p w:rsidR="009005C6" w:rsidRDefault="005456EC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Берсенев </w:t>
      </w:r>
      <w:proofErr w:type="spellStart"/>
      <w:r>
        <w:rPr>
          <w:lang w:val="en-US"/>
        </w:rPr>
        <w:t>Андрей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Александрович</w:t>
      </w:r>
      <w:proofErr w:type="spellEnd"/>
    </w:p>
    <w:p w:rsidR="009005C6" w:rsidRDefault="009005C6">
      <w:pPr>
        <w:pStyle w:val="af5"/>
        <w:spacing w:before="280" w:after="280"/>
        <w:ind w:firstLine="426"/>
        <w:jc w:val="both"/>
        <w:rPr>
          <w:lang w:val="en-US"/>
        </w:rPr>
      </w:pPr>
    </w:p>
    <w:p w:rsidR="009005C6" w:rsidRDefault="009005C6">
      <w:pPr>
        <w:spacing w:line="264" w:lineRule="auto"/>
        <w:ind w:firstLine="567"/>
        <w:rPr>
          <w:lang w:val="en-US"/>
        </w:rPr>
      </w:pPr>
    </w:p>
    <w:p w:rsidR="009005C6" w:rsidRDefault="009005C6">
      <w:pPr>
        <w:spacing w:line="264" w:lineRule="auto"/>
        <w:ind w:firstLine="567"/>
        <w:rPr>
          <w:lang w:val="en-US"/>
        </w:rPr>
      </w:pPr>
    </w:p>
    <w:sectPr w:rsidR="009005C6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BC1" w:rsidRDefault="00966BC1">
      <w:r>
        <w:separator/>
      </w:r>
    </w:p>
  </w:endnote>
  <w:endnote w:type="continuationSeparator" w:id="0">
    <w:p w:rsidR="00966BC1" w:rsidRDefault="0096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BC1" w:rsidRDefault="00966BC1">
      <w:r>
        <w:separator/>
      </w:r>
    </w:p>
  </w:footnote>
  <w:footnote w:type="continuationSeparator" w:id="0">
    <w:p w:rsidR="00966BC1" w:rsidRDefault="00966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5C6" w:rsidRDefault="005456EC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4C928A1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5C6"/>
    <w:rsid w:val="002C1EB8"/>
    <w:rsid w:val="005456EC"/>
    <w:rsid w:val="00742AC7"/>
    <w:rsid w:val="009005C6"/>
    <w:rsid w:val="0096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76521-F5BA-43A0-85CE-A4583900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418</Words>
  <Characters>2383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Сергей</cp:lastModifiedBy>
  <cp:revision>37</cp:revision>
  <dcterms:created xsi:type="dcterms:W3CDTF">2018-02-15T22:24:00Z</dcterms:created>
  <dcterms:modified xsi:type="dcterms:W3CDTF">2023-02-03T14:01:00Z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