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6552–ОАОФ/2/21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Одноголовая пила в комплекте с 3-метровым рольгангом  (YILMAZ ASCK 420).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января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6552–ОАОФ/1/21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(ОГРН:1146230003699)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12:37:09;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97 000.00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18.01.2023 11:02:42.650039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 р/с 40702810500000009577 в Прио-Внешторгбанк (ПАО) г. Рязань, к/с 30101810500000000708, БИК 046126708, получатель: ООО «Новый свет» ИНН/КПП 7709851340/623001001.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