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с ограниченной ответственностью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Вертикальный обрабатывающий центр HARTFORD PRO-100, 2010 г.в.; заточной станок для концевых фрез DAREX E90I, 2012 г.в.; станок проволочно-электроэрозионный AGIE Evolution BC2, 1997 г.в.; станок фрезерный 6М13У (б/у), 1982-85 г.в.; станок электроэрозийный прошивной AGIE Integral2, 1995 г.в.; электропечь СНОЛ 10/11/регулятор температуры ПТ, 2015 г.в.; компрессор ВК 15Т-8-500, 2000 г.в.; станок координатно-шлифовальный HAUSER 3 SMO, 1976 г.в.; комплект оснастки: вытеснитель черт. 17456.27, ст.40Х9С2. ГОСТ 5632-72, 2012 г.в. (360 шт.), гайка прижимная, черт. 17456.25, ст.40х9С2, ГОСТ 5632-72, 2012 г.в. (360 шт.), чаша перфорированная, черт. 17456.26 ст.40х9С2, ГОСТ 5632-72, 2012 г.в. (360 шт.), штифт. черт. 17456.28.02, ст.40Х9С2 ГОСТ 5632-72, 2012 г.в. (360 шт.), прижим черт.17456,29 ст.12Ч18Н10Т, ГОСТ 5632-72, 2012 г.в. (360 шт.);.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4 406 577.30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15:00:00 ⇆ 18.01.2023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2023 года, время:  14:31:16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Коновалов Виктор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ИНН:891300213120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2023 года, время:  14:31:16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Коновалов Виктор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ИНН:891300213120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