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6464–ОАЗФ/1/5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«СУ-65»;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права требования, далее по тексту № п.п./наименование/ИНН/сумма требования  в рублях: 1/ООО «РЕМЭКС-М» /7715807885/3156330,90; 2/ДЕЛЬДЕРОВ АЛЕКСАНДР ВЛАДИМИРОВИЧ/690901885352/834660.42;3/ООО«ПРОМБЕТОН»/5725005090/6386009,79; 4/ООО «СТРОЙКОМПЛЕКС-М»/7703473349/2812464,58; 5/ООО «МосРегСтрой»/ 7727329577/15888182,34; 6/ООО «ИТК»/9731005963/1571875,87;7/ООО«ЧОО «КАЙМАН»/7716679315/32155,80; 8/ООО «ЭКОГРАД»/7708269812/400 000,00; 9/ООО «СИЛЬВЕР»/2312266842/430 000,00; 10/ИП Алексеенко Д.В./773136263302/987391,30; 12/ЩербаковЮ.В./772902047879/2431150,00;13/МеняйленкоЕ.Г./691104521638/ 5093367,94.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698 890.00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А40-28817/2017.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«СУ-65».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11:49:15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МДМ-Групп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ОГРН:1215000009091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11:49:15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МДМ-Групп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ОГРН:1215000009091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(Петрыкина Наталья Васильевна)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Петрыкина Наталья Васильевна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