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Нежилое помещение 20П, подвал, Омская обл., Омский р-н, с. Троицкое, пр. Яснополянский, 15, кадастровый номер 55:20:220302:5336, площадь 61,7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6404–ОТПП/2/15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Конев Владислав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(ИНН:550406065501)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10:00:17;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55 530.00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09:00:00 ⇆ 20.12.2022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20.12.2022 10:00:17.973559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644033, Омска область, город Омск, улица Красный путь, дом 101, корпус 2, квартира 168.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55 530.00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конкурсным управляющим с победителем (участником, предложившим максимальную цену) на основании протокола о результатах торгов, в течение 10 дней с даты подписания протокола.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цены договора купли-продажи осуществляется в течение 30 дней с даты подписания договора по реквизитам должника: ООО «РоКАС», ИНН 5503103795, КПП 552801001, р/с № 40702810701580130014 в "Азиатско-Тихоокеанский Банк" (АО), г.Благовещенск, БИК 041012765, к/счёт 30101810300000000765.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