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Низкорамный полуприцеп THP/SL4 GOLDHOFER, VIN WG0THPS4A90032658, гос. номер. АТ462666, 2010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1 359 000.00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6447–ОАОФ/1/23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Чумаков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(ОГРНИП:320774600016802)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10:13:25;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Балицки Наталья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(ОГРНИП:305770002549094)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10:12:13;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10:07:44;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(ОГРН:1176658009494)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21:57:02;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Петров Игорь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(ИНН:780720797855)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15:26:05;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Общество с ограниченной ответственностью "Бридж"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(ОГРН:1156658024467)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19:42:34;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Гильгенберг Светлана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(ОГРНИП:322723200033932)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16:18:05;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Хабибуллин Динар Рустамович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(ИНН:164305211156)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20:13:19;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13:40:50;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7 202 700.00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7 134 750.00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17:50:03.684231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7 134 750.00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17:48:58.967325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7 066 800.00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17:35:41.112252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6 998 850.00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17:35:22.407613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17:13:51.069095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6 862 950.00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17:13:30.590100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16:59:42.544843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6 727 050.00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16:58:52.922453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6 659 100.00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16:35:40.859053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16:32:57.221787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6 523 200.00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16:10:52.476963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6 455 250.00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16:08:11.978317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6 387 300.00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15:55:04.590138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6 319 350.00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15:53:57.539571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6 251 400.00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15:43:24.123239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6 183 450.00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15:42:08.715641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6 115 500.00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15:35:55.756486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6 047 550.00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15:34:39.725974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5 979 600.00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15:17:04.520269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5 911 650.00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15:16:51.703478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5 843 700.00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14:59:23.168277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5 775 750.00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14:58:54.995802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14:55:00.900532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14:50:31.986747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14:37:48.685295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14:28:57.378758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5 436 000.00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14:26:59.439173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5 368 050.00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14:23:21.045810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5 300 100.00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14:06:46.545255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5 232 150.00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13:53:11.331252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5 164 200.00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13:35:28.033762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5 096 250.00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13:19:47.350599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5 028 300.00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13:18:26.939178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4 960 350.00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13:17:40.141647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4 892 400.00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13:17:03.389331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4 824 450.00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13:08:01.454000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13:06:20.964037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13:04:08.445576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13:02:38.397725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4 552 650.00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12:48:32.714447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12:45:23.951776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4 416 750.00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12:44:59.233514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12:39:47.860303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12:39:21.426182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12:38:52.986973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4 144 950.00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12:38:42.450526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4 077 000.00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12:38:29.895133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12:38:12.602439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12:37:47.931067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12:32:43.427734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12:31:03.178371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12:30:15.622351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12:30:01.371676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12:27:22.857292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12:26:49.103641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12:23:29.851972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12:22:30.943780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12:19:32.300227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12:18:15.341281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12:18:06.405013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12:16:06.625621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12:16:03.187397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12:15:55.048187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12:15:21.897651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12:11:24.892453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12:11:06.804678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12:10:53.628471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12:10:29.371361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12:09:27.188296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12:09:04.380034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12:08:42.314251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12:08:35.601119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12:08:25.874634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12:08:10.570533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12:08:00.644550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12:05:22.847678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12:05:09.057904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12:05:05.187586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12:04:49.056873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12:04:23.629379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12:04:05.411734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12:03:35.963188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12:03:27.234339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12:03:13.514014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12:02:46.654710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12:02:05.944266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"Бридж"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12:01:10.294567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198206, Санкт-Петербург г, Петергофское ш, дом 57, квартира 171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7 134 750.00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620143, СВЕРДЛОВСКАЯ ОБЛ, Г ЕКАТЕРИНБУРГ, УЛ МАШИНОСТРОИТЕЛЕЙ, Д 19, ОФ 135/14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7 202 700.00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