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Автомобиль Skoda SUPERB, VIN TMBCE7NP3G7044881, гос. номер А864АА96, 2015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1 221 000.00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6447–ОАОФ/1/11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Кропотов Владимир Валерьянович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(ИНН:667100004380)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15:41:32;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"Правознай"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(ОГРН:1186658018007)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10:34:36;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Перевалов Алексей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(ИНН:665802882209)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07:56:44;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Тлатов Юрий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(ИНН:525710212407)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18:45:06;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Микушин Дмитрий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(ИНН:664902240605)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16:18:51;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Скалин Антон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(ИНН:665810038158)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12:11:52;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Марьинских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(ИНН:665404731779)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11:30:54;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Ионин Богдан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(ОГРНИП:319665800194575)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12:20:07;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Багина Елена Викторовна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(ИНН:662332522182)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18:50:08;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Клименко Любовь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(ИНН:666404363238)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12:40:55;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2 075 700.00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2 014 650.00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12:10:09.797567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"Правознай"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12:07:48.047318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12:06:56.216230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"Правознай"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12:03:29.104874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12:02:50.455603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Ионин Богдан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12:02:24.338270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12:02:16.642668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Ионин Богдан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12:02:08.972524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12:01:35.037575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Тлатов Юрий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12:01:29.238522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12:01:24.196434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Тлатов Юрий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12:01:14.692721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"Правознай"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12:01:08.930907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12:01:00.892894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Тлатов Юрий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12:00:32.041674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"Правознай"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Белинского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2 014 650.00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Клименко Любовь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обл., г. Березовский, пос. Старопышминск, ул. Лесная поляна, д.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2 075 700.00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