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6504–ОТПП/2/1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Ноздрин Григорий 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– Югра, Сургутский р-н, пгт. Федоровский, ул. Ломоносова, д. 16, кВ. 18, общей площадью 86,9 кв. м, кадастровый номер 86:03:0030125:5347. Вид права: Общая совместная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3 186 000.00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А75-19061/2021.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– 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Ноздрин Григорий 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30.11.2022 00:00:00 ⇆ 05.12.2022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6504–ОТПП/2/1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Бушкова Анастасия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(ИНН:183402918706)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23:53:14;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Бушкова Анастасия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00:00:00 ⇆ 05.12.2022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23:58:17.884029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00:00:00 ⇆ 05.12.2022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23:53:14.938279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Бушкова Анастасия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188335, Ленинградская обл., Гатчинский р-н, дер.Батово, д.6 кв.86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2 735 000.00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в течение 5 (пяти) календарных дней с даты получения предложения финансового управляющего о заключении договора купли-продажи обязан подписать договор купли-продажи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40817810353002992803 открытый в Рязанском отделении №8606 ПАО Сбербанк, БИК 046126614, Корр. счет 30101810500000000614, получатель платежа – Ноздрин Григорий Олегович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