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Медяник Павел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вид разрешенного использования: многоэтажная жилая застройка (высотная застройка) (код - 2.6), общая площадь 716 кв.м., кадастровый номер: 24:50:0200156:3. Местоположение установлено относительно ориентира, расположенного в границах участка. Ориентир Домовладение. Почтовый адрес ориентира: Красноярский край, г. Красноярск, Железнодорожный район, ул. Карла Маркса, д. 217..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9 270 789.30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А33-21785/2018.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Медяник Павел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29.11.2022 09:00:00 ⇆ 05.12.2022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6381–ОТПП/2/1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Неборский Сергей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(ИНН:246300372001)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16:53:27;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16:51:27;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Буйнова Валентина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(ИНН:246000595350)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16:58:32;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Беспалов Андрей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(ИНН:244601533594)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08:34:12;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"Банкротфорум"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(ОГРН:1147746324186)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16:46:17;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Неборский Сергей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29.11.2022 09:00:00 ⇆ 05.12.2022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16:53:27.548234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2 047 547.00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29.11.2022 09:00:00 ⇆ 05.12.2022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16:51:27.956848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Буйнова Валентина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29.11.2022 09:00:00 ⇆ 05.12.2022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16:58:32.691461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Беспалов Андрей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29.11.2022 09:00:00 ⇆ 05.12.2022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08:34:12.683177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"Банкротфорум"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2 201 900.00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29.11.2022 09:00:00 ⇆ 05.12.2022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16:46:17.909637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Буйнова Валентина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Красноярск, ул. Тельмана, д. 41А, кв. 33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2 500 000.00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Медяника Павла Владимировича оформляется договором купли-продажи, заключаемым между финансовым управляющим и победителем торгов. Финансовый управляющий в течение пяти дней с даты подписания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имущества. При этом в отношении лота №3 вышеуказанные действия по заключению договора купли-продажи имущества должника с победителем торгов осуществляются только с учётом норм законодательства РФ применяемых к правоотношениям при продаже доли в праве общей собственности постороннему лицу. Условия реализации имущества, отражаемые в договоре: оплата - не позднее 30 календарных дней с даты заключения договора; переход права собственности – с момента государственной регистрации (в случаях предусмотренных законодательством РФ), после полной оплаты стоимости имущества на банковский счет должника.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Условия реализации имущества, отражаемые в договоре: оплата - не позднее 30 календарных дней с даты заключения договора; переход права собственности – с момента государственной регистрации (в случаях предусмотренных законодательством РФ), после полной оплаты стоимости имущества на банковский счет должника по следующим реквизитам: получатель Медяник Павел Владимирович, ИНН 246007153858, р/с 40817810001100000159 в ББР Банк (АО) г. Москва, БИК 044525769, к/с 30101810745250000769.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