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6244–ОТПП/1/1</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«23»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6244-ОТПП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АО "Лужский комбикормовый завод";</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Право требования к следующим юридическим лицам: ООО "Шекснинский бройлер" ИНН 3525291813 в размере 58 751 927,3 рублей
Размер задолженности дебиторами не подтвержден, может являться оспоримым и невозможным ко взысканию, должником может не признаваться.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52 876 734.57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p>
    <w:p>
      <w:pPr>
        <w:pStyle w:val="Normal"/>
        <w:spacing w:lineRule="auto" w:line="264" w:before="120" w:after="120"/>
        <w:ind w:firstLine="215"/>
        <w:rPr>
          <w:b/>
          <w:b/>
          <w:bCs/>
        </w:rPr>
      </w:pPr>
      <w:r>
        <w:rPr>
          <w:b/>
          <w:bCs/>
        </w:rPr>
        <w:t xml:space="preserve">7. </w:t>
      </w:r>
      <w:bookmarkStart w:id="3" w:name="_Hlk37884772"/>
      <w:r>
        <w:rPr>
          <w:b/>
          <w:bCs/>
        </w:rPr>
        <w:t>Наименование должника</w:t>
      </w:r>
      <w:bookmarkEnd w:id="3"/>
    </w:p>
    <w:p>
      <w:pPr>
        <w:pStyle w:val="Normal"/>
        <w:spacing w:lineRule="auto" w:line="264" w:before="0" w:after="120"/>
        <w:ind w:firstLine="567"/>
        <w:rPr/>
      </w:pPr>
      <w:r>
        <w:rPr/>
        <w:t>АО «Лужский ККЗ».</w:t>
      </w:r>
      <w:bookmarkStart w:id="4" w:name="_GoBack"/>
      <w:bookmarkEnd w:id="4"/>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Моисеев Александр Александрович.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Моисеев Александр Александрович.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OLE_LINK36"/>
      <w:bookmarkEnd w:id="8"/>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(Моисеев Александр Александрович) </w:t>
      </w:r>
    </w:p>
    <w:p>
      <w:pPr>
        <w:pStyle w:val="NormalWeb"/>
        <w:spacing w:lineRule="auto" w:line="264" w:beforeAutospacing="0" w:before="600" w:afterAutospacing="0" w:after="280"/>
        <w:ind w:left="567" w:hanging="0"/>
        <w:jc w:val="both"/>
        <w:rPr>
          <w:lang w:val="en-US"/>
        </w:rPr>
      </w:pPr>
      <w:r>
        <w:rPr>
          <w:lang w:val="en-US"/>
        </w:rPr>
        <w:t>_______________ Моисеев Александр Александрович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Application>LibreOffice/6.4.7.2$Linux_X86_64 LibreOffice_project/40$Build-2</Application>
  <Pages>2</Pages>
  <Words>134</Words>
  <Characters>1057</Characters>
  <CharactersWithSpaces>1170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2022-07-04T12:13:01Z</dcterms:modified>
  <cp:revision>31</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