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6342–ОАОФ/1/1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«22» ноября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6342-ОАОФ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"МАЛТ";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Назначение: Нежилое, Наименование: торгово-офисный центр, Количество этажей, в том числе подземных этажей: 2, Местоположение: Рязанская область, г Рязань, Ряжское шоссе, с/т "Химик-2", стр 318, Площадь: 116.5, Кадастровый номер: 62:29:0130003:977
Категория земель: Земли населенных пунктов, Виды разрешенного использования: торгово-офисные центры, Местоположение: Рязанская область, г Рязань, ш Ряжское, 30, с/т "Химик-2", уч.317, уч.318 (Октябрьский район), Площадь: 1500 +/- 14, Кадастровый номер: 62:29:0130003:949.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9 935 789.39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А54-4885/2019.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"МАЛТ".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Прудников Алексей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«17»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«22» ноября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(Прудников Алексей Владимирович)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Прудников Алексей Владимирович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