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65200F59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A6232B">
        <w:rPr>
          <w:rFonts w:eastAsia="Calibri"/>
          <w:color w:val="000000"/>
        </w:rPr>
        <w:t>Коломна</w:t>
      </w:r>
      <w:r w:rsidR="0013709F">
        <w:rPr>
          <w:rFonts w:eastAsia="Calibri"/>
          <w:color w:val="000000"/>
        </w:rPr>
        <w:t xml:space="preserve">   </w:t>
      </w:r>
      <w:r w:rsidR="005F73EF">
        <w:rPr>
          <w:rFonts w:eastAsia="Calibri"/>
          <w:color w:val="000000"/>
        </w:rPr>
        <w:t xml:space="preserve">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</w:t>
      </w:r>
      <w:r w:rsidR="009A5EE2">
        <w:t>мая</w:t>
      </w:r>
      <w:r w:rsidRPr="005F73EF">
        <w:t xml:space="preserve"> 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4889DD1B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>Финансовый</w:t>
      </w:r>
      <w:r w:rsidR="00D30426">
        <w:rPr>
          <w:rFonts w:eastAsia="Times New Roman"/>
          <w:color w:val="000000"/>
        </w:rPr>
        <w:t xml:space="preserve"> управляющий</w:t>
      </w:r>
      <w:r w:rsidRPr="005F73EF">
        <w:rPr>
          <w:rFonts w:eastAsia="Times New Roman"/>
          <w:color w:val="000000"/>
        </w:rPr>
        <w:t xml:space="preserve"> </w:t>
      </w:r>
      <w:bookmarkStart w:id="0" w:name="_Hlk118899623"/>
      <w:r w:rsidR="00A6232B" w:rsidRPr="00B73DB0">
        <w:rPr>
          <w:rFonts w:eastAsia="Times New Roman"/>
          <w:b/>
          <w:bCs/>
          <w:color w:val="000000"/>
          <w:kern w:val="2"/>
        </w:rPr>
        <w:t>Степучев</w:t>
      </w:r>
      <w:r w:rsidR="00A6232B">
        <w:rPr>
          <w:rFonts w:eastAsia="Times New Roman"/>
          <w:b/>
          <w:bCs/>
          <w:color w:val="000000"/>
          <w:kern w:val="2"/>
        </w:rPr>
        <w:t>а</w:t>
      </w:r>
      <w:r w:rsidR="00A6232B" w:rsidRPr="00B73DB0">
        <w:rPr>
          <w:rFonts w:eastAsia="Times New Roman"/>
          <w:b/>
          <w:bCs/>
          <w:color w:val="000000"/>
          <w:kern w:val="2"/>
        </w:rPr>
        <w:t xml:space="preserve"> Алекс</w:t>
      </w:r>
      <w:r w:rsidR="00A6232B">
        <w:rPr>
          <w:rFonts w:eastAsia="Times New Roman"/>
          <w:b/>
          <w:bCs/>
          <w:color w:val="000000"/>
          <w:kern w:val="2"/>
        </w:rPr>
        <w:t>ея</w:t>
      </w:r>
      <w:r w:rsidR="00A6232B" w:rsidRPr="00B73DB0">
        <w:rPr>
          <w:rFonts w:eastAsia="Times New Roman"/>
          <w:b/>
          <w:bCs/>
          <w:color w:val="000000"/>
          <w:kern w:val="2"/>
        </w:rPr>
        <w:t xml:space="preserve"> Николаевич</w:t>
      </w:r>
      <w:r w:rsidR="00A6232B">
        <w:rPr>
          <w:rFonts w:eastAsia="Times New Roman"/>
          <w:b/>
          <w:bCs/>
          <w:color w:val="000000"/>
          <w:kern w:val="2"/>
        </w:rPr>
        <w:t>а</w:t>
      </w:r>
      <w:r w:rsidR="00A6232B" w:rsidRPr="00E20F08">
        <w:rPr>
          <w:rFonts w:eastAsia="Times New Roman"/>
          <w:color w:val="000000"/>
          <w:kern w:val="2"/>
        </w:rPr>
        <w:t xml:space="preserve"> </w:t>
      </w:r>
      <w:bookmarkEnd w:id="0"/>
      <w:r w:rsidR="00A6232B">
        <w:rPr>
          <w:rFonts w:eastAsia="Times New Roman"/>
          <w:color w:val="000000"/>
          <w:kern w:val="2"/>
        </w:rPr>
        <w:t>(д</w:t>
      </w:r>
      <w:r w:rsidR="00A6232B" w:rsidRPr="00E20F08">
        <w:rPr>
          <w:rFonts w:eastAsia="Times New Roman"/>
          <w:color w:val="000000"/>
          <w:kern w:val="2"/>
        </w:rPr>
        <w:t>ата рождения</w:t>
      </w:r>
      <w:r w:rsidR="00A6232B">
        <w:rPr>
          <w:rFonts w:eastAsia="Times New Roman"/>
          <w:color w:val="000000"/>
          <w:kern w:val="2"/>
        </w:rPr>
        <w:t xml:space="preserve">: </w:t>
      </w:r>
      <w:r w:rsidR="00A6232B" w:rsidRPr="005208CA">
        <w:rPr>
          <w:rFonts w:eastAsia="Times New Roman"/>
          <w:color w:val="000000"/>
          <w:kern w:val="2"/>
        </w:rPr>
        <w:t>01.08.1975</w:t>
      </w:r>
      <w:r w:rsidR="00A6232B">
        <w:rPr>
          <w:rFonts w:eastAsia="Times New Roman"/>
          <w:color w:val="000000"/>
          <w:kern w:val="2"/>
        </w:rPr>
        <w:t>, м</w:t>
      </w:r>
      <w:r w:rsidR="00A6232B" w:rsidRPr="00E20F08">
        <w:rPr>
          <w:rFonts w:eastAsia="Times New Roman"/>
          <w:color w:val="000000"/>
          <w:kern w:val="2"/>
        </w:rPr>
        <w:t>есто рождения</w:t>
      </w:r>
      <w:r w:rsidR="00A6232B">
        <w:rPr>
          <w:rFonts w:eastAsia="Times New Roman"/>
          <w:color w:val="000000"/>
          <w:kern w:val="2"/>
        </w:rPr>
        <w:t>:</w:t>
      </w:r>
      <w:r w:rsidR="00A6232B" w:rsidRPr="005208CA">
        <w:t xml:space="preserve"> </w:t>
      </w:r>
      <w:r w:rsidR="00A6232B" w:rsidRPr="005208CA">
        <w:rPr>
          <w:rFonts w:eastAsia="Times New Roman"/>
          <w:color w:val="000000"/>
          <w:kern w:val="2"/>
        </w:rPr>
        <w:t>гор. Волчанск Свердловской обл.</w:t>
      </w:r>
      <w:r w:rsidR="00A6232B">
        <w:rPr>
          <w:rFonts w:eastAsia="Times New Roman"/>
          <w:color w:val="000000"/>
          <w:kern w:val="2"/>
        </w:rPr>
        <w:t xml:space="preserve">, адрес регистрации </w:t>
      </w:r>
      <w:r w:rsidR="00A6232B" w:rsidRPr="005208CA">
        <w:rPr>
          <w:rFonts w:eastAsia="Times New Roman"/>
          <w:color w:val="000000"/>
          <w:kern w:val="2"/>
        </w:rPr>
        <w:t>Московская обл., г. Коломна с. Сергиевское, ул. Советская дом 144</w:t>
      </w:r>
      <w:r w:rsidR="00A6232B">
        <w:rPr>
          <w:rFonts w:eastAsia="Times New Roman"/>
          <w:color w:val="000000"/>
          <w:kern w:val="2"/>
        </w:rPr>
        <w:t>, паспорт 46  04 номер 210354 выдан Коломенским УВД Московской обл., дата выдачи 15.02.2003, код подразделения 503-034</w:t>
      </w:r>
      <w:r w:rsidR="005F73EF" w:rsidRPr="003C6C76">
        <w:rPr>
          <w:rFonts w:eastAsia="Times New Roman"/>
          <w:color w:val="000000"/>
          <w:kern w:val="2"/>
        </w:rPr>
        <w:t>)</w:t>
      </w:r>
      <w:r w:rsidR="005F73EF" w:rsidRPr="003C6C76">
        <w:rPr>
          <w:rFonts w:eastAsia="Times New Roman"/>
          <w:color w:val="000000"/>
        </w:rPr>
        <w:t>,</w:t>
      </w:r>
      <w:r w:rsidR="005F73EF" w:rsidRPr="005F73EF">
        <w:rPr>
          <w:rFonts w:eastAsia="Times New Roman"/>
          <w:color w:val="000000"/>
        </w:rPr>
        <w:t xml:space="preserve">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A6232B" w:rsidRPr="00A6232B">
        <w:rPr>
          <w:rFonts w:eastAsia="Times New Roman"/>
          <w:color w:val="000000"/>
          <w:kern w:val="2"/>
        </w:rPr>
        <w:t>Московской области 22 декабря 2021 года Дело №А41-34311/21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</w:t>
      </w:r>
      <w:r w:rsidR="003C6C76">
        <w:rPr>
          <w:rFonts w:eastAsia="Times New Roman"/>
          <w:color w:val="000000"/>
          <w:kern w:val="2"/>
        </w:rPr>
        <w:t>ый</w:t>
      </w:r>
      <w:r w:rsidR="005F73EF" w:rsidRPr="005F73EF">
        <w:rPr>
          <w:rFonts w:eastAsia="Times New Roman"/>
          <w:color w:val="000000"/>
          <w:kern w:val="2"/>
        </w:rPr>
        <w:t xml:space="preserve"> в дальнейшем </w:t>
      </w:r>
      <w:r w:rsidRPr="005F73EF"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7B9508B7" w:rsidR="00624B8F" w:rsidRPr="0013709F" w:rsidRDefault="00A86061" w:rsidP="00126B0A">
      <w:pPr>
        <w:spacing w:after="0" w:line="240" w:lineRule="auto"/>
        <w:ind w:firstLine="709"/>
        <w:jc w:val="both"/>
        <w:rPr>
          <w:rFonts w:eastAsia="Times New Roman"/>
          <w:b/>
          <w:bCs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A6232B" w:rsidRPr="00A6232B">
        <w:rPr>
          <w:color w:val="000000"/>
          <w:kern w:val="2"/>
        </w:rPr>
        <w:t>Степучева Алексея Николаевича</w:t>
      </w:r>
      <w:r w:rsidR="005A6119" w:rsidRPr="005A6119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A6232B" w:rsidRPr="00A6232B">
        <w:rPr>
          <w:rFonts w:eastAsia="Times New Roman"/>
          <w:b/>
          <w:bCs/>
          <w:kern w:val="2"/>
          <w:sz w:val="24"/>
          <w:szCs w:val="24"/>
        </w:rPr>
        <w:t>Вид объекта недвижимости: здание, кадастровый номер: 50:34:0010606:2356,назначение объекта: нежилое, адрес:</w:t>
      </w:r>
      <w:r w:rsidR="00A6232B" w:rsidRPr="00A6232B">
        <w:rPr>
          <w:rFonts w:eastAsia="Times New Roman"/>
          <w:b/>
          <w:bCs/>
          <w:kern w:val="2"/>
          <w:sz w:val="24"/>
          <w:szCs w:val="24"/>
        </w:rPr>
        <w:tab/>
        <w:t>Московская область, Коломенский район, с. Сергиевское, ул. Советская, дом 144, площадь: 33,00 кв. м., вид права, доля в праве: собственность</w:t>
      </w:r>
      <w:r w:rsidR="0013709F">
        <w:rPr>
          <w:rFonts w:eastAsia="Times New Roman"/>
          <w:b/>
          <w:bCs/>
          <w:kern w:val="2"/>
          <w:sz w:val="24"/>
          <w:szCs w:val="24"/>
        </w:rPr>
        <w:t xml:space="preserve">,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50FE1815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A6232B" w:rsidRPr="00A6232B">
        <w:rPr>
          <w:rFonts w:eastAsia="Times New Roman"/>
          <w:color w:val="000000"/>
          <w:kern w:val="2"/>
        </w:rPr>
        <w:t>Степучева Алексея Николаевича</w:t>
      </w:r>
      <w:r w:rsidRPr="005F73EF">
        <w:rPr>
          <w:i/>
        </w:rPr>
        <w:t>».</w:t>
      </w:r>
    </w:p>
    <w:p w14:paraId="729162DB" w14:textId="1BF264B0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A6232B" w:rsidRPr="00A6232B">
        <w:rPr>
          <w:rFonts w:eastAsia="Times New Roman"/>
          <w:color w:val="000000"/>
          <w:kern w:val="2"/>
        </w:rPr>
        <w:t>Степучева Алексея Николаевича</w:t>
      </w:r>
      <w:r w:rsidR="00D30426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lastRenderedPageBreak/>
        <w:t>Заключительные положения</w:t>
      </w:r>
    </w:p>
    <w:p w14:paraId="009B46C3" w14:textId="60A0633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A6232B">
        <w:rPr>
          <w:rFonts w:eastAsia="Times New Roman"/>
          <w:color w:val="000000"/>
          <w:kern w:val="2"/>
        </w:rPr>
        <w:t>Московской области</w:t>
      </w:r>
      <w:bookmarkStart w:id="2" w:name="_GoBack"/>
      <w:bookmarkEnd w:id="2"/>
      <w:r w:rsidR="00126B0A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13814432" w14:textId="1B891441" w:rsidR="00126B0A" w:rsidRDefault="00A6232B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 w:rsidRPr="00A6232B">
              <w:rPr>
                <w:rFonts w:eastAsia="Times New Roman"/>
                <w:color w:val="000000"/>
                <w:kern w:val="2"/>
              </w:rPr>
              <w:t>Степучева Алексея Николаевича</w:t>
            </w:r>
          </w:p>
          <w:p w14:paraId="14194619" w14:textId="4AB4C1F2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26B0A"/>
    <w:rsid w:val="0013709F"/>
    <w:rsid w:val="00167816"/>
    <w:rsid w:val="00187B95"/>
    <w:rsid w:val="001C3A98"/>
    <w:rsid w:val="002C4CAE"/>
    <w:rsid w:val="00351231"/>
    <w:rsid w:val="003C6C76"/>
    <w:rsid w:val="005A6119"/>
    <w:rsid w:val="005F73EF"/>
    <w:rsid w:val="00605AFC"/>
    <w:rsid w:val="00624B8F"/>
    <w:rsid w:val="007A5ED7"/>
    <w:rsid w:val="009A5EE2"/>
    <w:rsid w:val="00A24CA3"/>
    <w:rsid w:val="00A6232B"/>
    <w:rsid w:val="00A86061"/>
    <w:rsid w:val="00BE2EC8"/>
    <w:rsid w:val="00BF7826"/>
    <w:rsid w:val="00D304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36</cp:revision>
  <dcterms:created xsi:type="dcterms:W3CDTF">2018-06-22T16:12:00Z</dcterms:created>
  <dcterms:modified xsi:type="dcterms:W3CDTF">2022-11-09T12:20:00Z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