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2D" w:rsidRDefault="00694376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72A2D" w:rsidRDefault="00072A2D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072A2D" w:rsidRDefault="00072A2D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072A2D" w:rsidRDefault="00694376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6384–ОТПП/2/1</w:t>
      </w:r>
    </w:p>
    <w:p w:rsidR="00072A2D" w:rsidRDefault="0069437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072A2D" w:rsidRDefault="00694376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 w:rsidR="00072A2D" w:rsidRDefault="00072A2D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072A2D" w:rsidRDefault="00694376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октября 2022 года</w:t>
      </w:r>
    </w:p>
    <w:p w:rsidR="00072A2D" w:rsidRDefault="00072A2D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072A2D" w:rsidRDefault="0069437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072A2D" w:rsidRDefault="00694376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072A2D" w:rsidRDefault="0069437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072A2D" w:rsidRDefault="00694376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 w:rsidR="00072A2D" w:rsidRDefault="0069437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072A2D" w:rsidRDefault="00694376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Лот №1: 1) Земельный участок общей площадью 4809+/- 24 кв.м., с кадастровым номером 59:01:4319174:399, расположенный по адресу: г. Пермь, ул. 1905 года, категория земель: земли населенных пунктов, разрешенное использование: асфальтобетонная дорога, внутренние железнодорожные пути, для размещения иных объектов энергетики.2) Здание, 1-этажная кирпичная остановка железнодорожная «Славянова», лит. А, общая площадь 183 кв.м., кадастровый номер объекта: </w:t>
      </w:r>
      <w:proofErr w:type="gramStart"/>
      <w:r>
        <w:rPr>
          <w:rFonts w:eastAsia="Times New Roman"/>
        </w:rPr>
        <w:t>59:401:0:0:28173</w:t>
      </w:r>
      <w:proofErr w:type="gramEnd"/>
      <w:r>
        <w:rPr>
          <w:rFonts w:eastAsia="Times New Roman"/>
        </w:rPr>
        <w:t>/1/1, адрес: г. Пермь, Мотовилихинский р-н, остановка железнодорожная «Славянов</w:t>
      </w:r>
      <w:r w:rsidR="00F86E92">
        <w:rPr>
          <w:rFonts w:eastAsia="Times New Roman"/>
        </w:rPr>
        <w:t>а».</w:t>
      </w:r>
    </w:p>
    <w:p w:rsidR="00072A2D" w:rsidRDefault="0069437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072A2D" w:rsidRDefault="00694376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4 140 000.00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072A2D" w:rsidRDefault="006943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072A2D" w:rsidRDefault="00694376">
      <w:pPr>
        <w:spacing w:after="120" w:line="264" w:lineRule="auto"/>
        <w:ind w:firstLine="567"/>
      </w:pPr>
      <w:r>
        <w:t>А50-16153/2017.</w:t>
      </w:r>
    </w:p>
    <w:p w:rsidR="00072A2D" w:rsidRDefault="006943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072A2D" w:rsidRDefault="00694376">
      <w:pPr>
        <w:spacing w:after="120" w:line="264" w:lineRule="auto"/>
        <w:ind w:firstLine="567"/>
      </w:pPr>
      <w:r>
        <w:t>Арбитражный суд Пермского края.</w:t>
      </w:r>
      <w:bookmarkStart w:id="3" w:name="_Hlk38152713"/>
      <w:bookmarkEnd w:id="3"/>
    </w:p>
    <w:p w:rsidR="00072A2D" w:rsidRDefault="0069437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072A2D" w:rsidRDefault="00694376">
      <w:pPr>
        <w:spacing w:after="120" w:line="264" w:lineRule="auto"/>
        <w:ind w:firstLine="567"/>
      </w:pPr>
      <w:r>
        <w:t>ПАО Специального машиностроения металлургии "Мотовилихинские заводы".</w:t>
      </w:r>
    </w:p>
    <w:p w:rsidR="00072A2D" w:rsidRDefault="0069437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072A2D" w:rsidRPr="00F86E92" w:rsidRDefault="00694376">
      <w:pPr>
        <w:spacing w:after="120" w:line="264" w:lineRule="auto"/>
        <w:ind w:firstLine="567"/>
      </w:pPr>
      <w:r w:rsidRPr="00F86E92">
        <w:t>Берсенев Андрей Александрович.</w:t>
      </w:r>
    </w:p>
    <w:p w:rsidR="00072A2D" w:rsidRPr="00F86E92" w:rsidRDefault="00694376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F86E92">
        <w:t xml:space="preserve">9. </w:t>
      </w:r>
      <w:r>
        <w:t>Организатор</w:t>
      </w:r>
      <w:r w:rsidRPr="00F86E92">
        <w:t xml:space="preserve"> </w:t>
      </w:r>
      <w:r>
        <w:t>торгов</w:t>
      </w:r>
      <w:r w:rsidRPr="00F86E92">
        <w:t xml:space="preserve"> </w:t>
      </w:r>
    </w:p>
    <w:p w:rsidR="00072A2D" w:rsidRPr="00F86E92" w:rsidRDefault="00694376">
      <w:pPr>
        <w:spacing w:after="120" w:line="264" w:lineRule="auto"/>
        <w:ind w:firstLine="567"/>
      </w:pPr>
      <w:r w:rsidRPr="00F86E92">
        <w:t>Берсенев Андрей Александрович.</w:t>
      </w:r>
      <w:bookmarkStart w:id="5" w:name="_Hlk37882833"/>
      <w:bookmarkEnd w:id="5"/>
    </w:p>
    <w:p w:rsidR="00072A2D" w:rsidRDefault="00694376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072A2D" w:rsidRDefault="00694376">
      <w:pPr>
        <w:spacing w:after="120" w:line="264" w:lineRule="auto"/>
        <w:ind w:left="567"/>
      </w:pPr>
      <w:r>
        <w:lastRenderedPageBreak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 w:rsidR="00072A2D" w:rsidRDefault="00694376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</w:p>
    <w:p w:rsidR="00072A2D" w:rsidRDefault="006943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:rsidR="00072A2D" w:rsidRDefault="00694376">
      <w:pPr>
        <w:spacing w:after="120" w:line="264" w:lineRule="auto"/>
        <w:ind w:left="142" w:firstLine="425"/>
      </w:pPr>
      <w:r>
        <w:t>25.10.2022 00:00:00 ⇆ 27.10.2022 23:59:00</w:t>
      </w:r>
      <w:bookmarkStart w:id="6" w:name="_Hlk38154481"/>
      <w:bookmarkEnd w:id="6"/>
    </w:p>
    <w:p w:rsidR="00072A2D" w:rsidRDefault="006943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072A2D" w:rsidRDefault="00694376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6384–ОТПП/2/1</w:t>
      </w:r>
      <w:r>
        <w:t xml:space="preserve"> от </w:t>
      </w:r>
      <w:r>
        <w:rPr>
          <w:u w:val="single"/>
        </w:rPr>
        <w:t>«28» октября 2022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072A2D">
        <w:tc>
          <w:tcPr>
            <w:tcW w:w="8636" w:type="dxa"/>
            <w:shd w:val="clear" w:color="auto" w:fill="auto"/>
          </w:tcPr>
          <w:p w:rsidR="00072A2D" w:rsidRPr="003F5A93" w:rsidRDefault="00694376" w:rsidP="003F5A93">
            <w:pPr>
              <w:pStyle w:val="tabletext"/>
              <w:spacing w:line="264" w:lineRule="auto"/>
            </w:pPr>
            <w:r w:rsidRPr="003F5A93">
              <w:rPr>
                <w:b/>
              </w:rPr>
              <w:t xml:space="preserve">1. </w:t>
            </w:r>
            <w:r w:rsidR="003F5A93" w:rsidRPr="003F5A93">
              <w:rPr>
                <w:b/>
              </w:rPr>
              <w:t>ОАО «РЖД» в лице Дирекции по строительству сетей связи - филиала ОАО «РЖД»</w:t>
            </w:r>
          </w:p>
          <w:p w:rsidR="00072A2D" w:rsidRPr="00F86E92" w:rsidRDefault="00694376">
            <w:r w:rsidRPr="00F86E92">
              <w:t>(ОГРН:1037739877295)</w:t>
            </w:r>
          </w:p>
          <w:p w:rsidR="00072A2D" w:rsidRPr="00F86E92" w:rsidRDefault="00694376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F86E92">
              <w:t xml:space="preserve"> </w:t>
            </w:r>
            <w:r>
              <w:t>принята</w:t>
            </w:r>
            <w:r w:rsidRPr="00F86E92">
              <w:t xml:space="preserve">: </w:t>
            </w:r>
            <w:r>
              <w:t>дата</w:t>
            </w:r>
            <w:r w:rsidRPr="00F86E92">
              <w:t xml:space="preserve"> </w:t>
            </w:r>
            <w:r w:rsidR="003F5A93">
              <w:rPr>
                <w:u w:val="single"/>
              </w:rPr>
              <w:t xml:space="preserve">«27» октября 2022 года, </w:t>
            </w:r>
            <w:bookmarkStart w:id="7" w:name="_GoBack"/>
            <w:bookmarkEnd w:id="7"/>
            <w:r>
              <w:rPr>
                <w:u w:val="single"/>
              </w:rPr>
              <w:t>время</w:t>
            </w:r>
            <w:r w:rsidRPr="00F86E92">
              <w:rPr>
                <w:u w:val="single"/>
              </w:rPr>
              <w:t>: 13:24:21;</w:t>
            </w:r>
          </w:p>
        </w:tc>
      </w:tr>
    </w:tbl>
    <w:p w:rsidR="00072A2D" w:rsidRDefault="006943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072A2D" w:rsidRDefault="00694376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072A2D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072A2D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86E92" w:rsidRPr="00F86E92" w:rsidRDefault="00F86E92" w:rsidP="00F86E9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ОАО «РЖД» в лице Дирекции по строительству сетей связи - филиала ОАО «РЖД»</w:t>
            </w:r>
          </w:p>
          <w:p w:rsidR="00072A2D" w:rsidRDefault="00F86E92" w:rsidP="00F86E9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ОГРН:1037739877295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25.10.2022 00:00:00 ⇆ 27.10.2022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27.10.2022 13:24:21.612883</w:t>
            </w:r>
            <w:bookmarkStart w:id="8" w:name="_Hlk37851796"/>
            <w:bookmarkEnd w:id="8"/>
          </w:p>
        </w:tc>
      </w:tr>
    </w:tbl>
    <w:p w:rsidR="00072A2D" w:rsidRDefault="006943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186"/>
        <w:gridCol w:w="2615"/>
        <w:gridCol w:w="2293"/>
        <w:gridCol w:w="2094"/>
      </w:tblGrid>
      <w:tr w:rsidR="00072A2D" w:rsidTr="00F86E92">
        <w:trPr>
          <w:jc w:val="center"/>
        </w:trPr>
        <w:tc>
          <w:tcPr>
            <w:tcW w:w="2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72A2D" w:rsidRDefault="00072A2D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072A2D" w:rsidTr="00F86E92">
        <w:trPr>
          <w:jc w:val="center"/>
        </w:trPr>
        <w:tc>
          <w:tcPr>
            <w:tcW w:w="21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6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F86E92" w:rsidRPr="00F86E92" w:rsidRDefault="00F86E92" w:rsidP="00F86E9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ОАО «РЖД» в лице Дирекции по строительству сетей    связи - филиала ОАО «РЖД»</w:t>
            </w:r>
          </w:p>
          <w:p w:rsidR="00072A2D" w:rsidRDefault="00F86E92" w:rsidP="00F86E9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ОГРН:1037739877295</w:t>
            </w:r>
          </w:p>
        </w:tc>
        <w:tc>
          <w:tcPr>
            <w:tcW w:w="2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620027, г. Екатеринбург, ул. Челюскинцев, д.86, оф.600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072A2D" w:rsidRDefault="00694376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4 300 000.00</w:t>
            </w:r>
          </w:p>
        </w:tc>
      </w:tr>
    </w:tbl>
    <w:p w:rsidR="00072A2D" w:rsidRDefault="006943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072A2D" w:rsidRDefault="00694376">
      <w:pPr>
        <w:spacing w:after="120" w:line="264" w:lineRule="auto"/>
        <w:ind w:left="567"/>
      </w:pPr>
      <w:r>
        <w:t xml:space="preserve">В течение пяти дней с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 имущества. В течение пяти дней с даты получения предложения конкурсного управляющего о заключении договора, победитель открытых торгов обязан заключить с должником договор купли - продажи имущества и оплатить его в течение тридцати календарных дней со дня подписания договора. В случае отказа или уклонения победителя торгов от подписания договора купли-продажи имущества в течение пяти дней с даты получения предложения конкурсного управляющего о заключении договора, внесенный задаток ему не возвращается. Конкурсный управляющий вправе предложить заключить договор купли-продажи участнику торгов, которым предложена наиболее высокая цена по сравнению с </w:t>
      </w:r>
      <w:r>
        <w:lastRenderedPageBreak/>
        <w:t>ценой, предложенной другими участниками торгов, за исключением победителя торгов либо участнику торгов,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 w:rsidR="00072A2D" w:rsidRDefault="00694376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072A2D" w:rsidRDefault="00694376">
      <w:pPr>
        <w:spacing w:after="120" w:line="264" w:lineRule="auto"/>
        <w:ind w:left="567"/>
      </w:pPr>
      <w:r>
        <w:t>Оплата по договору купли-продажи имущества должника должна быть осуществлена покупателем в течение 30 дней с даты подписания указанного договора (с зачетом внесенного задатка) путем перечисления денежных средств на банковский счет должника по реквизитам: ПАО «Мотовилихинские заводы», ИНН 5906009273, ОГРН 1025901364708, КПП 590601001; р/с 40702810800000059919, БАНК ГПБ (АО), г. Москва, БИК: 044525823, к/с: 30101810200000000823.</w:t>
      </w:r>
    </w:p>
    <w:p w:rsidR="00072A2D" w:rsidRDefault="00694376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072A2D" w:rsidRPr="00F86E92" w:rsidRDefault="00694376">
      <w:pPr>
        <w:pStyle w:val="af5"/>
        <w:spacing w:before="280" w:after="280"/>
        <w:ind w:left="567"/>
        <w:jc w:val="both"/>
      </w:pPr>
      <w:r>
        <w:t>Организатор</w:t>
      </w:r>
      <w:r w:rsidRPr="00F86E92">
        <w:t xml:space="preserve"> </w:t>
      </w:r>
      <w:r>
        <w:t>торгов</w:t>
      </w:r>
      <w:r w:rsidRPr="00F86E92">
        <w:t xml:space="preserve"> </w:t>
      </w:r>
    </w:p>
    <w:p w:rsidR="00072A2D" w:rsidRPr="00F86E92" w:rsidRDefault="00694376">
      <w:pPr>
        <w:pStyle w:val="af5"/>
        <w:spacing w:before="280" w:after="280"/>
        <w:ind w:left="567"/>
        <w:jc w:val="both"/>
        <w:rPr>
          <w:b/>
        </w:rPr>
      </w:pPr>
      <w:r w:rsidRPr="00F86E92">
        <w:rPr>
          <w:b/>
        </w:rPr>
        <w:t xml:space="preserve">(Берсенев Андрей Александрович) </w:t>
      </w:r>
    </w:p>
    <w:p w:rsidR="00072A2D" w:rsidRDefault="00694376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Берсенев </w:t>
      </w:r>
      <w:proofErr w:type="spellStart"/>
      <w:r>
        <w:rPr>
          <w:lang w:val="en-US"/>
        </w:rPr>
        <w:t>Андрей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Александрович</w:t>
      </w:r>
      <w:proofErr w:type="spellEnd"/>
    </w:p>
    <w:p w:rsidR="00072A2D" w:rsidRDefault="00072A2D">
      <w:pPr>
        <w:spacing w:after="120" w:line="264" w:lineRule="auto"/>
        <w:rPr>
          <w:lang w:val="en-US"/>
        </w:rPr>
      </w:pPr>
    </w:p>
    <w:p w:rsidR="00072A2D" w:rsidRDefault="00072A2D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072A2D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E7" w:rsidRDefault="005676E7">
      <w:r>
        <w:separator/>
      </w:r>
    </w:p>
  </w:endnote>
  <w:endnote w:type="continuationSeparator" w:id="0">
    <w:p w:rsidR="005676E7" w:rsidRDefault="0056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E7" w:rsidRDefault="005676E7">
      <w:r>
        <w:separator/>
      </w:r>
    </w:p>
  </w:footnote>
  <w:footnote w:type="continuationSeparator" w:id="0">
    <w:p w:rsidR="005676E7" w:rsidRDefault="005676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A2D" w:rsidRDefault="00694376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A2D"/>
    <w:rsid w:val="00072A2D"/>
    <w:rsid w:val="003F5A93"/>
    <w:rsid w:val="005676E7"/>
    <w:rsid w:val="00694376"/>
    <w:rsid w:val="00F8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014A8-45B0-493B-B305-BED3FD9B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B1127-8189-4817-BF93-6F77810DD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721</Words>
  <Characters>4114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Сергей</cp:lastModifiedBy>
  <cp:revision>58</cp:revision>
  <dcterms:created xsi:type="dcterms:W3CDTF">2018-02-15T22:24:00Z</dcterms:created>
  <dcterms:modified xsi:type="dcterms:W3CDTF">2022-10-28T10:58:00Z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