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6242–ОАЗФ/2/1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октября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6242-ОАЗФ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"Вагон";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недвижимое и движимое имущество АО «Вагон» (ОС), доходные вложения в материальные ценности, ОКР, ТР, НМА, оборудование, вложения во ВНА, МПЗ, оснастка, хозинвентарь, НП, полуфабрикаты собственного  
производства, готовая продукция, финансовые вложения, дебиторская задолженность. Более подробная информация указана в приложении..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3 718 216 147.59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А79-9591/2019.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Чувашской Республики.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"Вагон".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Павликов Сергей Владимирович.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"Финпром-Ресурс".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«12» сентября 2022г. 09:00:00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«14» октября 2022г. 17:00:00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«19» октября 2022г. 15:00:00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"Финпром-Ресурс")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КУРЗАНОВА АЛИНА ВАДИМОВНА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